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99DC" w14:textId="77777777" w:rsidR="00D96E7C" w:rsidRDefault="00D96E7C" w:rsidP="00D96E7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24"/>
          <w:lang w:eastAsia="el-GR"/>
          <w14:ligatures w14:val="none"/>
        </w:rPr>
      </w:pPr>
    </w:p>
    <w:p w14:paraId="7FCC7EFE" w14:textId="010A8178" w:rsidR="00D96E7C" w:rsidRDefault="00D96E7C" w:rsidP="00D96E7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24"/>
          <w:szCs w:val="24"/>
          <w:lang w:eastAsia="el-GR"/>
          <w14:ligatures w14:val="none"/>
        </w:rPr>
      </w:pPr>
      <w:r w:rsidRPr="00D96E7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l-GR"/>
          <w14:ligatures w14:val="none"/>
        </w:rPr>
        <w:drawing>
          <wp:inline distT="0" distB="0" distL="0" distR="0" wp14:anchorId="0B158EC5" wp14:editId="063EF210">
            <wp:extent cx="1039061" cy="701675"/>
            <wp:effectExtent l="0" t="0" r="8890" b="3175"/>
            <wp:docPr id="1048374271" name="Εικόνα 1" descr="Εικόνα που περιέχει λογότυπο, σύμβολο, Εμπορικό σήμα, έμβλη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74271" name="Εικόνα 1" descr="Εικόνα που περιέχει λογότυπο, σύμβολο, Εμπορικό σήμα, έμβλη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07" cy="72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BD2BC" w14:textId="17C81C9A" w:rsidR="00D96E7C" w:rsidRPr="0092142C" w:rsidRDefault="00D96E7C" w:rsidP="00D96E7C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  <w14:ligatures w14:val="none"/>
        </w:rPr>
      </w:pPr>
      <w:r w:rsidRPr="0092142C">
        <w:rPr>
          <w:rFonts w:ascii="Calibri" w:eastAsia="Times New Roman" w:hAnsi="Calibri" w:cs="Calibri"/>
          <w:b/>
          <w:bCs/>
          <w:color w:val="333333"/>
          <w:kern w:val="36"/>
          <w:sz w:val="24"/>
          <w:szCs w:val="24"/>
          <w:lang w:eastAsia="el-GR"/>
          <w14:ligatures w14:val="none"/>
        </w:rPr>
        <w:t>ΑΝΑΚΟΙΝΩΣΗ</w:t>
      </w:r>
    </w:p>
    <w:p w14:paraId="537165B0" w14:textId="57293C27" w:rsidR="0092142C" w:rsidRPr="00125573" w:rsidRDefault="0092142C" w:rsidP="0092142C">
      <w:pPr>
        <w:spacing w:after="12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</w:pPr>
      <w:r w:rsidRPr="00125573"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  <w:t>Παράταση προβλέπεται στον Κανονισμό πυροπροστασίας ακινήτων με εγκύκλιο που θα εκδοθεί τις προσ</w:t>
      </w:r>
      <w:r w:rsidR="009649E6"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  <w:t>ε</w:t>
      </w:r>
      <w:r w:rsidRPr="00125573"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  <w:t>χε</w:t>
      </w:r>
      <w:r w:rsidR="009649E6"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  <w:t>ί</w:t>
      </w:r>
      <w:r w:rsidRPr="00125573">
        <w:rPr>
          <w:rFonts w:ascii="Calibri" w:eastAsia="Times New Roman" w:hAnsi="Calibri" w:cs="Calibri"/>
          <w:b/>
          <w:bCs/>
          <w:color w:val="454444"/>
          <w:kern w:val="36"/>
          <w:sz w:val="24"/>
          <w:szCs w:val="24"/>
          <w:lang w:eastAsia="el-GR"/>
          <w14:ligatures w14:val="none"/>
        </w:rPr>
        <w:t>ς ημέρες</w:t>
      </w:r>
    </w:p>
    <w:p w14:paraId="43DEBAB7" w14:textId="4FF4C1CA" w:rsidR="0092142C" w:rsidRDefault="00D96E7C" w:rsidP="0092142C">
      <w:pPr>
        <w:spacing w:after="0" w:line="240" w:lineRule="auto"/>
        <w:jc w:val="both"/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</w:pPr>
      <w:r w:rsidRPr="0092142C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Ενημερώνουμε τους Δημότες μας, ότι το Υπουργείο Περιβάλλοντος και Ενέργειας λαμβάνοντας υπόψη αιτήματα δήμων και πολιτών και προκειμένου να παρασχεθεί επαρκής χρόνος για τη βέλτιστη υλοποίηση των προβλεπόμενων στον </w:t>
      </w:r>
      <w:r w:rsidR="00FA0AA7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«</w:t>
      </w:r>
      <w:r w:rsidRPr="00FA0AA7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Κανονισμό πυροπροστασίας ακινήτων εντός ή πλησίον δασικών εκτάσεων</w:t>
      </w:r>
      <w:r w:rsidR="00FA0AA7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»</w:t>
      </w:r>
      <w:r w:rsidRPr="00FA0AA7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,</w:t>
      </w:r>
      <w:r w:rsidRPr="0092142C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> ανακοίνωσε</w:t>
      </w:r>
      <w:r w:rsidR="00FA0AA7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(την 29/3/2024) </w:t>
      </w:r>
      <w:r w:rsidRPr="0092142C"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  <w:t xml:space="preserve"> ότι </w:t>
      </w:r>
      <w:r w:rsidR="0092142C" w:rsidRPr="00125573"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  <w:t>αναμένεται τροποποίηση της σχετικής Κοινής Υπουργικής Απόφασης (ΚΥΑ) για την παράταση των προθεσμιών υποβολής των στοιχείων ως εξής:</w:t>
      </w:r>
    </w:p>
    <w:p w14:paraId="7F23B9E1" w14:textId="77777777" w:rsidR="00FA0AA7" w:rsidRPr="00125573" w:rsidRDefault="00FA0AA7" w:rsidP="0092142C">
      <w:pPr>
        <w:spacing w:after="0" w:line="240" w:lineRule="auto"/>
        <w:jc w:val="both"/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</w:pPr>
    </w:p>
    <w:p w14:paraId="52ADE2CF" w14:textId="77777777" w:rsidR="0092142C" w:rsidRPr="00125573" w:rsidRDefault="0092142C" w:rsidP="0092142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54444"/>
          <w:kern w:val="0"/>
          <w:sz w:val="24"/>
          <w:szCs w:val="24"/>
          <w:lang w:eastAsia="el-GR"/>
          <w14:ligatures w14:val="none"/>
        </w:rPr>
      </w:pPr>
      <w:r w:rsidRPr="00125573">
        <w:rPr>
          <w:rFonts w:ascii="Calibri" w:eastAsia="Times New Roman" w:hAnsi="Calibri" w:cs="Calibri"/>
          <w:b/>
          <w:bCs/>
          <w:color w:val="454444"/>
          <w:kern w:val="0"/>
          <w:sz w:val="24"/>
          <w:szCs w:val="24"/>
          <w:lang w:eastAsia="el-GR"/>
          <w14:ligatures w14:val="none"/>
        </w:rPr>
        <w:t>α) για την εκπόνηση της αξιολόγησης της επικινδυνότητας και την υποβολή τεχνικής έκθεσης έως τις 26/04/2024 και</w:t>
      </w:r>
    </w:p>
    <w:p w14:paraId="73E3015A" w14:textId="77777777" w:rsidR="0092142C" w:rsidRPr="00125573" w:rsidRDefault="0092142C" w:rsidP="0092142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454444"/>
          <w:kern w:val="0"/>
          <w:sz w:val="24"/>
          <w:szCs w:val="24"/>
          <w:lang w:eastAsia="el-GR"/>
          <w14:ligatures w14:val="none"/>
        </w:rPr>
      </w:pPr>
      <w:r w:rsidRPr="00125573">
        <w:rPr>
          <w:rFonts w:ascii="Calibri" w:eastAsia="Times New Roman" w:hAnsi="Calibri" w:cs="Calibri"/>
          <w:b/>
          <w:bCs/>
          <w:color w:val="454444"/>
          <w:kern w:val="0"/>
          <w:sz w:val="24"/>
          <w:szCs w:val="24"/>
          <w:lang w:eastAsia="el-GR"/>
          <w14:ligatures w14:val="none"/>
        </w:rPr>
        <w:t>β) για τη λήψη μέτρων και την υποβολή δήλωσης του ιδιοκτήτη έως τις 26/05/2024.</w:t>
      </w:r>
    </w:p>
    <w:p w14:paraId="5A9E4029" w14:textId="77777777" w:rsidR="00FA0AA7" w:rsidRDefault="00FA0AA7" w:rsidP="0092142C">
      <w:pPr>
        <w:spacing w:after="0" w:line="240" w:lineRule="auto"/>
        <w:jc w:val="both"/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</w:pPr>
    </w:p>
    <w:p w14:paraId="66B7D7F3" w14:textId="0F30B50C" w:rsidR="0092142C" w:rsidRDefault="0092142C" w:rsidP="0092142C">
      <w:pPr>
        <w:spacing w:after="0" w:line="240" w:lineRule="auto"/>
        <w:jc w:val="both"/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</w:pPr>
      <w:r w:rsidRPr="00125573"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  <w:t>Παράλληλα, θα εκδοθεί άμεσα, νέα εγκύκλιος με αναλυτικές οδηγίες για όλα τα θέματα που αναφέρονται στην ΚΥΑ.</w:t>
      </w:r>
    </w:p>
    <w:p w14:paraId="5BA2CA1E" w14:textId="77777777" w:rsidR="00FA0AA7" w:rsidRPr="00125573" w:rsidRDefault="00FA0AA7" w:rsidP="0092142C">
      <w:pPr>
        <w:spacing w:after="0" w:line="240" w:lineRule="auto"/>
        <w:jc w:val="both"/>
        <w:rPr>
          <w:rFonts w:ascii="Calibri" w:eastAsia="Times New Roman" w:hAnsi="Calibri" w:cs="Calibri"/>
          <w:color w:val="454444"/>
          <w:kern w:val="0"/>
          <w:sz w:val="24"/>
          <w:szCs w:val="24"/>
          <w:lang w:eastAsia="el-GR"/>
          <w14:ligatures w14:val="none"/>
        </w:rPr>
      </w:pPr>
    </w:p>
    <w:p w14:paraId="33355E89" w14:textId="77777777" w:rsidR="00D96E7C" w:rsidRPr="0092142C" w:rsidRDefault="00000000" w:rsidP="0092142C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hyperlink r:id="rId6" w:history="1">
        <w:r w:rsidR="00D96E7C" w:rsidRPr="0092142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Εγκύκλιος – Εφαρμογή του Κανονισμού Πυροπροστασίας Ακινήτων εντός και πλησίον δασικών εκτάσεων</w:t>
        </w:r>
      </w:hyperlink>
    </w:p>
    <w:p w14:paraId="21787E2B" w14:textId="77777777" w:rsidR="00D96E7C" w:rsidRPr="0092142C" w:rsidRDefault="00000000" w:rsidP="00D96E7C">
      <w:pPr>
        <w:shd w:val="clear" w:color="auto" w:fill="FFFFFF"/>
        <w:spacing w:after="0" w:afterAutospacing="1" w:line="240" w:lineRule="auto"/>
        <w:textAlignment w:val="baseline"/>
        <w:rPr>
          <w:rFonts w:ascii="Calibri" w:eastAsia="Times New Roman" w:hAnsi="Calibri" w:cs="Calibri"/>
          <w:color w:val="333333"/>
          <w:kern w:val="0"/>
          <w:sz w:val="24"/>
          <w:szCs w:val="24"/>
          <w:lang w:eastAsia="el-GR"/>
          <w14:ligatures w14:val="none"/>
        </w:rPr>
      </w:pPr>
      <w:hyperlink r:id="rId7" w:history="1">
        <w:r w:rsidR="00D96E7C" w:rsidRPr="0092142C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Κανονισμός πυροπροστασίας ακινήτων εντός και πλησίον δασικών εκτάσεων</w:t>
        </w:r>
      </w:hyperlink>
    </w:p>
    <w:sectPr w:rsidR="00D96E7C" w:rsidRPr="0092142C" w:rsidSect="00EB5FB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972"/>
    <w:multiLevelType w:val="multilevel"/>
    <w:tmpl w:val="768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51318"/>
    <w:multiLevelType w:val="hybridMultilevel"/>
    <w:tmpl w:val="DF1CC98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7690815">
    <w:abstractNumId w:val="0"/>
  </w:num>
  <w:num w:numId="2" w16cid:durableId="20116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7C"/>
    <w:rsid w:val="000C4CB0"/>
    <w:rsid w:val="00125573"/>
    <w:rsid w:val="001412FB"/>
    <w:rsid w:val="00267317"/>
    <w:rsid w:val="0092142C"/>
    <w:rsid w:val="009649E6"/>
    <w:rsid w:val="00BF60C9"/>
    <w:rsid w:val="00D96E7C"/>
    <w:rsid w:val="00EB5FB8"/>
    <w:rsid w:val="00EF4C12"/>
    <w:rsid w:val="00F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6D49"/>
  <w15:chartTrackingRefBased/>
  <w15:docId w15:val="{24BDE65D-D2D4-4F35-8A23-A6ECD60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6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6E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6E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6E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6E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6E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6E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6E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6E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6E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6E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6E7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96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D96E7C"/>
    <w:rPr>
      <w:color w:val="0000FF"/>
      <w:u w:val="single"/>
    </w:rPr>
  </w:style>
  <w:style w:type="character" w:customStyle="1" w:styleId="posted-on">
    <w:name w:val="posted-on"/>
    <w:basedOn w:val="a0"/>
    <w:rsid w:val="001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96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iva.gr/wp-content/uploads/2024/04/%CE%9A%CE%B1%CE%BD%CE%BF%CE%BD%CE%B9%CF%83%CE%BC%CF%8C%CF%82-%CF%80%CF%85%CF%81%CE%BF%CF%80%CF%81%CE%BF%CF%83%CF%84%CE%B1%CF%83%CE%AF%CE%B1%CF%82-%CE%B1%CE%BA%CE%B9%CE%BD%CE%AE%CF%84%CF%89%CE%BD-%CE%B5%CE%BD%CF%84%CF%8C%CF%82-%CE%BA%CE%B1%CE%B9-%CF%80%CE%BB%CE%B7%CF%83%CE%AF%CE%BF%CE%BD-%CE%B4%CE%B1%CF%83%CE%B9%CE%BA%CF%8E%CE%BD-%CE%B5%CE%BA%CF%84%CE%AC%CF%83%CE%B5%CF%89%CE%B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iva.gr/wp-content/uploads/2024/04/%CE%95%CE%B3%CE%BA%CF%8D%CE%BA%CE%BB%CE%B9%CE%BF%CF%82-%CE%95%CF%86%CE%B1%CF%81%CE%BC%CE%BF%CE%B3%CE%AE-%CF%84%CE%BF%CF%85-%CE%9A%CE%B1%CE%BD%CE%BF%CE%BD%CE%B9%CF%83%CE%BC%CE%BF%CF%8D-%CE%A0%CF%85%CF%81%CE%BF%CF%80%CF%81%CE%BF%CF%83%CF%84%CE%B1%CF%83%CE%AF%CE%B1%CF%82-%CE%91%CE%BA%CE%B9%CE%BD%CE%AE%CF%84%CF%89%CE%BD-%CE%B5%CE%BD%CF%84%CF%8C%CF%82-%CE%BA%CE%B1%CE%B9-%CF%80%CE%BB%CE%B7%CF%83%CE%AF%CE%BF%CE%BD-%CE%B4%CE%B1%CF%83%CE%B9%CE%BA%CF%8E%CE%BD-%CE%B5%CE%BA%CF%84%CE%AC%CF%83%CE%B5%CF%89%CE%B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ΜΕΛΕΤΗ</dc:creator>
  <cp:keywords/>
  <dc:description/>
  <cp:lastModifiedBy>ΚΩΝΣΤΑΝΤΙΝΑ ΜΕΛΕΤΗ</cp:lastModifiedBy>
  <cp:revision>6</cp:revision>
  <dcterms:created xsi:type="dcterms:W3CDTF">2024-04-04T08:35:00Z</dcterms:created>
  <dcterms:modified xsi:type="dcterms:W3CDTF">2024-04-04T12:08:00Z</dcterms:modified>
</cp:coreProperties>
</file>