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79" w:rsidRDefault="00E27E79">
      <w:bookmarkStart w:id="0" w:name="_GoBack"/>
      <w:bookmarkEnd w:id="0"/>
    </w:p>
    <w:p w:rsidR="00E27E79" w:rsidRDefault="00E27E79">
      <w:pPr>
        <w:rPr>
          <w:sz w:val="24"/>
        </w:rPr>
      </w:pPr>
    </w:p>
    <w:p w:rsidR="00E27E79" w:rsidRDefault="00E27E79">
      <w:pPr>
        <w:rPr>
          <w:sz w:val="24"/>
        </w:rPr>
      </w:pPr>
    </w:p>
    <w:p w:rsidR="00E27E79" w:rsidRDefault="00E27E79">
      <w:pPr>
        <w:rPr>
          <w:sz w:val="24"/>
          <w:lang w:val="en-US"/>
        </w:rPr>
      </w:pPr>
    </w:p>
    <w:p w:rsidR="00E27E79" w:rsidRDefault="00E27E79"/>
    <w:p w:rsidR="00E27E79" w:rsidRDefault="00E27E79"/>
    <w:p w:rsidR="00E27E79" w:rsidRDefault="00E27E79"/>
    <w:p w:rsidR="00E27E79" w:rsidRDefault="00E27E79"/>
    <w:p w:rsidR="00E27E79" w:rsidRDefault="00E27E79"/>
    <w:p w:rsidR="00E27E79" w:rsidRDefault="00C449A6">
      <w:pPr>
        <w:jc w:val="center"/>
        <w:rPr>
          <w:b/>
          <w:sz w:val="44"/>
        </w:rPr>
      </w:pPr>
      <w:r>
        <w:rPr>
          <w:b/>
          <w:sz w:val="44"/>
        </w:rPr>
        <w:t>ΦΑΚΕΛΟΣ ΑΣΦΑΛΕΙΑΣ ΚΑΙ ΥΓΕΙΑΣ (ΦΑΥ)</w:t>
      </w:r>
    </w:p>
    <w:p w:rsidR="00E27E79" w:rsidRDefault="00E27E79"/>
    <w:p w:rsidR="00E27E79" w:rsidRDefault="00E27E79"/>
    <w:p w:rsidR="00E27E79" w:rsidRDefault="00C449A6">
      <w:pPr>
        <w:rPr>
          <w:b/>
          <w:sz w:val="28"/>
        </w:rPr>
      </w:pPr>
      <w:r>
        <w:rPr>
          <w:b/>
          <w:sz w:val="28"/>
        </w:rPr>
        <w:t>ΕΡΓΟ</w:t>
      </w:r>
      <w:r w:rsidRPr="00F30A5B">
        <w:rPr>
          <w:b/>
          <w:sz w:val="28"/>
        </w:rPr>
        <w:t>:</w:t>
      </w:r>
    </w:p>
    <w:p w:rsidR="00E27E79" w:rsidRDefault="00C449A6">
      <w:pPr>
        <w:spacing w:after="160" w:line="259" w:lineRule="auto"/>
      </w:pPr>
      <w:r>
        <w:t>Αναβάθμιση σχολικών κτιρίων για την λειτουργία ΔΥΕΠ</w:t>
      </w:r>
    </w:p>
    <w:p w:rsidR="00E27E79" w:rsidRDefault="00E27E79">
      <w:pPr>
        <w:spacing w:after="160" w:line="259" w:lineRule="auto"/>
      </w:pPr>
    </w:p>
    <w:p w:rsidR="00E27E79" w:rsidRDefault="00E27E79">
      <w:pPr>
        <w:spacing w:after="160" w:line="259" w:lineRule="auto"/>
      </w:pPr>
    </w:p>
    <w:p w:rsidR="00E27E79" w:rsidRDefault="00E27E79">
      <w:pPr>
        <w:spacing w:after="160" w:line="259" w:lineRule="auto"/>
      </w:pPr>
    </w:p>
    <w:p w:rsidR="00E27E79" w:rsidRDefault="00C449A6">
      <w:pPr>
        <w:rPr>
          <w:b/>
        </w:rPr>
      </w:pPr>
      <w:r>
        <w:rPr>
          <w:b/>
        </w:rPr>
        <w:t xml:space="preserve">ΟΙ ΜΕΛΕΤΗΤΕΣ ΕΡΓΟΥ </w:t>
      </w:r>
    </w:p>
    <w:p w:rsidR="00E27E79" w:rsidRDefault="00C449A6">
      <w:r>
        <w:t xml:space="preserve">...........................................................     </w:t>
      </w:r>
    </w:p>
    <w:p w:rsidR="00E27E79" w:rsidRDefault="00C449A6">
      <w:r>
        <w:t xml:space="preserve">...........................................................     </w:t>
      </w:r>
    </w:p>
    <w:p w:rsidR="00E27E79" w:rsidRDefault="00C449A6">
      <w:r>
        <w:t xml:space="preserve">...........................................................     </w:t>
      </w:r>
    </w:p>
    <w:p w:rsidR="00E27E79" w:rsidRDefault="00E27E79"/>
    <w:p w:rsidR="00E27E79" w:rsidRDefault="00C449A6">
      <w:pPr>
        <w:rPr>
          <w:b/>
        </w:rPr>
      </w:pPr>
      <w:r>
        <w:rPr>
          <w:b/>
        </w:rPr>
        <w:t>ΗΜΕΡΟΜΗΝΙΑ</w:t>
      </w:r>
    </w:p>
    <w:p w:rsidR="00E27E79" w:rsidRDefault="00C449A6">
      <w:pPr>
        <w:spacing w:after="160" w:line="259" w:lineRule="auto"/>
      </w:pPr>
      <w:r>
        <w:br w:type="page"/>
      </w:r>
    </w:p>
    <w:p w:rsidR="00E27E79" w:rsidRDefault="00C449A6">
      <w:pPr>
        <w:pStyle w:val="a7"/>
        <w:spacing w:before="60"/>
        <w:rPr>
          <w:b/>
          <w:color w:val="auto"/>
          <w:sz w:val="36"/>
          <w:lang w:val="el-GR"/>
        </w:rPr>
      </w:pPr>
      <w:bookmarkStart w:id="1" w:name="_Toc1779079191"/>
      <w:r>
        <w:rPr>
          <w:b/>
          <w:color w:val="auto"/>
          <w:sz w:val="36"/>
          <w:lang w:val="el-GR"/>
        </w:rPr>
        <w:lastRenderedPageBreak/>
        <w:t>Περιεχόμενα</w:t>
      </w:r>
      <w:bookmarkEnd w:id="1"/>
    </w:p>
    <w:p w:rsidR="00E27E79" w:rsidRDefault="00C449A6">
      <w:pPr>
        <w:pStyle w:val="10"/>
        <w:rPr>
          <w:b/>
        </w:rPr>
      </w:pPr>
      <w:r>
        <w:rPr>
          <w:b/>
          <w:color w:val="auto"/>
          <w:sz w:val="36"/>
        </w:rPr>
        <w:fldChar w:fldCharType="begin"/>
      </w:r>
      <w:r>
        <w:rPr>
          <w:b/>
        </w:rPr>
        <w:instrText xml:space="preserve"> TOC \o "1-3" \h \z \u </w:instrText>
      </w:r>
      <w:r>
        <w:rPr>
          <w:b/>
        </w:rPr>
        <w:fldChar w:fldCharType="separate"/>
      </w:r>
    </w:p>
    <w:p w:rsidR="00E27E79" w:rsidRDefault="00C449A6">
      <w:pPr>
        <w:pStyle w:val="10"/>
        <w:spacing w:before="120"/>
        <w:rPr>
          <w:b/>
        </w:rPr>
      </w:pPr>
      <w:hyperlink w:anchor="_Toc566315084" w:history="1">
        <w:r>
          <w:rPr>
            <w:b/>
          </w:rPr>
          <w:t>1.</w:t>
        </w:r>
        <w:r>
          <w:rPr>
            <w:b/>
          </w:rPr>
          <w:tab/>
          <w:t>ΕΙΣΑΓΩΓΗ</w:t>
        </w:r>
        <w:r>
          <w:rPr>
            <w:b/>
          </w:rPr>
          <w:tab/>
        </w:r>
      </w:hyperlink>
      <w:r>
        <w:rPr>
          <w:b/>
        </w:rPr>
        <w:fldChar w:fldCharType="begin"/>
      </w:r>
      <w:r>
        <w:rPr>
          <w:b/>
        </w:rPr>
        <w:instrText>PAGEREF _Toc566315084</w:instrText>
      </w:r>
      <w:r>
        <w:rPr>
          <w:b/>
        </w:rPr>
        <w:fldChar w:fldCharType="separate"/>
      </w:r>
      <w:r w:rsidR="00F30A5B">
        <w:rPr>
          <w:b/>
          <w:noProof/>
        </w:rPr>
        <w:t>3</w:t>
      </w:r>
      <w:r>
        <w:rPr>
          <w:b/>
        </w:rPr>
        <w:fldChar w:fldCharType="end"/>
      </w:r>
    </w:p>
    <w:p w:rsidR="00E27E79" w:rsidRDefault="00C449A6">
      <w:pPr>
        <w:pStyle w:val="10"/>
        <w:spacing w:before="120"/>
        <w:rPr>
          <w:b/>
        </w:rPr>
      </w:pPr>
      <w:hyperlink w:anchor="_Toc262076" w:history="1">
        <w:r>
          <w:rPr>
            <w:b/>
          </w:rPr>
          <w:t>2.</w:t>
        </w:r>
        <w:r>
          <w:rPr>
            <w:b/>
          </w:rPr>
          <w:tab/>
          <w:t>ΣΥΝΤΟΜΗ ΤΕΧΝΙΚΗ ΠΕΡΙΓΡΑΦΗ</w:t>
        </w:r>
        <w:r>
          <w:rPr>
            <w:b/>
          </w:rPr>
          <w:tab/>
        </w:r>
      </w:hyperlink>
      <w:r>
        <w:rPr>
          <w:b/>
        </w:rPr>
        <w:fldChar w:fldCharType="begin"/>
      </w:r>
      <w:r>
        <w:rPr>
          <w:b/>
        </w:rPr>
        <w:instrText>PAGEREF _Toc262076</w:instrText>
      </w:r>
      <w:r>
        <w:rPr>
          <w:b/>
        </w:rPr>
        <w:fldChar w:fldCharType="separate"/>
      </w:r>
      <w:r w:rsidR="00F30A5B">
        <w:rPr>
          <w:b/>
          <w:noProof/>
        </w:rPr>
        <w:t>3</w:t>
      </w:r>
      <w:r>
        <w:rPr>
          <w:b/>
        </w:rPr>
        <w:fldChar w:fldCharType="end"/>
      </w:r>
    </w:p>
    <w:p w:rsidR="00E27E79" w:rsidRDefault="00C449A6">
      <w:pPr>
        <w:pStyle w:val="10"/>
        <w:spacing w:before="120"/>
        <w:rPr>
          <w:b/>
        </w:rPr>
      </w:pPr>
      <w:hyperlink w:anchor="_Toc262077" w:history="1">
        <w:r>
          <w:rPr>
            <w:b/>
          </w:rPr>
          <w:t>3.</w:t>
        </w:r>
        <w:r>
          <w:rPr>
            <w:b/>
          </w:rPr>
          <w:tab/>
          <w:t>ΚΑΝΟΝΙΣΜΟΙ</w:t>
        </w:r>
        <w:r>
          <w:rPr>
            <w:b/>
          </w:rPr>
          <w:tab/>
        </w:r>
      </w:hyperlink>
      <w:r>
        <w:rPr>
          <w:b/>
        </w:rPr>
        <w:fldChar w:fldCharType="begin"/>
      </w:r>
      <w:r>
        <w:rPr>
          <w:b/>
        </w:rPr>
        <w:instrText>PAGEREF _Toc262077</w:instrText>
      </w:r>
      <w:r>
        <w:rPr>
          <w:b/>
        </w:rPr>
        <w:fldChar w:fldCharType="separate"/>
      </w:r>
      <w:r w:rsidR="00F30A5B">
        <w:rPr>
          <w:b/>
          <w:noProof/>
        </w:rPr>
        <w:t>4</w:t>
      </w:r>
      <w:r>
        <w:rPr>
          <w:b/>
        </w:rPr>
        <w:fldChar w:fldCharType="end"/>
      </w:r>
    </w:p>
    <w:p w:rsidR="00E27E79" w:rsidRDefault="00C449A6">
      <w:pPr>
        <w:pStyle w:val="10"/>
        <w:spacing w:before="120"/>
        <w:rPr>
          <w:b/>
        </w:rPr>
      </w:pPr>
      <w:hyperlink w:anchor="_Toc262078" w:history="1">
        <w:r>
          <w:rPr>
            <w:b/>
          </w:rPr>
          <w:t>4.</w:t>
        </w:r>
        <w:r>
          <w:rPr>
            <w:b/>
          </w:rPr>
          <w:tab/>
          <w:t>ΠΑΡΑΔΟΧΕΣ</w:t>
        </w:r>
        <w:r>
          <w:rPr>
            <w:b/>
          </w:rPr>
          <w:tab/>
        </w:r>
      </w:hyperlink>
      <w:r>
        <w:rPr>
          <w:b/>
        </w:rPr>
        <w:fldChar w:fldCharType="begin"/>
      </w:r>
      <w:r>
        <w:rPr>
          <w:b/>
        </w:rPr>
        <w:instrText>PAGEREF _Toc262078</w:instrText>
      </w:r>
      <w:r>
        <w:rPr>
          <w:b/>
        </w:rPr>
        <w:fldChar w:fldCharType="separate"/>
      </w:r>
      <w:r w:rsidR="00F30A5B">
        <w:rPr>
          <w:b/>
          <w:noProof/>
        </w:rPr>
        <w:t>4</w:t>
      </w:r>
      <w:r>
        <w:rPr>
          <w:b/>
        </w:rPr>
        <w:fldChar w:fldCharType="end"/>
      </w:r>
    </w:p>
    <w:p w:rsidR="00E27E79" w:rsidRDefault="00C449A6">
      <w:pPr>
        <w:pStyle w:val="10"/>
        <w:spacing w:before="120"/>
        <w:rPr>
          <w:b/>
        </w:rPr>
      </w:pPr>
      <w:hyperlink w:anchor="_Toc262079" w:history="1">
        <w:r>
          <w:rPr>
            <w:b/>
          </w:rPr>
          <w:t>5.</w:t>
        </w:r>
        <w:r>
          <w:rPr>
            <w:b/>
          </w:rPr>
          <w:tab/>
          <w:t>ΥΛΙΚΑ</w:t>
        </w:r>
        <w:r>
          <w:rPr>
            <w:b/>
          </w:rPr>
          <w:tab/>
        </w:r>
      </w:hyperlink>
      <w:r>
        <w:rPr>
          <w:b/>
        </w:rPr>
        <w:fldChar w:fldCharType="begin"/>
      </w:r>
      <w:r>
        <w:rPr>
          <w:b/>
        </w:rPr>
        <w:instrText>PAGEREF _T</w:instrText>
      </w:r>
      <w:r>
        <w:rPr>
          <w:b/>
        </w:rPr>
        <w:instrText>oc262079</w:instrText>
      </w:r>
      <w:r>
        <w:rPr>
          <w:b/>
        </w:rPr>
        <w:fldChar w:fldCharType="separate"/>
      </w:r>
      <w:r w:rsidR="00F30A5B">
        <w:rPr>
          <w:b/>
          <w:noProof/>
        </w:rPr>
        <w:t>4</w:t>
      </w:r>
      <w:r>
        <w:rPr>
          <w:b/>
        </w:rPr>
        <w:fldChar w:fldCharType="end"/>
      </w:r>
    </w:p>
    <w:p w:rsidR="00E27E79" w:rsidRDefault="00C449A6">
      <w:pPr>
        <w:pStyle w:val="10"/>
        <w:spacing w:before="120"/>
        <w:rPr>
          <w:b/>
        </w:rPr>
      </w:pPr>
      <w:hyperlink w:anchor="_Toc262080" w:history="1">
        <w:r>
          <w:rPr>
            <w:b/>
          </w:rPr>
          <w:t>6.</w:t>
        </w:r>
        <w:r>
          <w:rPr>
            <w:b/>
          </w:rPr>
          <w:tab/>
          <w:t>ΧΡΗΣΙΜΕΣ ΕΠΙΣΗΜΑΝΣΕΙΣ</w:t>
        </w:r>
        <w:r>
          <w:rPr>
            <w:b/>
          </w:rPr>
          <w:tab/>
        </w:r>
      </w:hyperlink>
      <w:r>
        <w:rPr>
          <w:b/>
        </w:rPr>
        <w:fldChar w:fldCharType="begin"/>
      </w:r>
      <w:r>
        <w:rPr>
          <w:b/>
        </w:rPr>
        <w:instrText>PAGEREF _Toc262080</w:instrText>
      </w:r>
      <w:r>
        <w:rPr>
          <w:b/>
        </w:rPr>
        <w:fldChar w:fldCharType="separate"/>
      </w:r>
      <w:r w:rsidR="00F30A5B">
        <w:rPr>
          <w:b/>
          <w:noProof/>
        </w:rPr>
        <w:t>4</w:t>
      </w:r>
      <w:r>
        <w:rPr>
          <w:b/>
        </w:rPr>
        <w:fldChar w:fldCharType="end"/>
      </w:r>
    </w:p>
    <w:p w:rsidR="00E27E79" w:rsidRDefault="00C449A6">
      <w:pPr>
        <w:pStyle w:val="10"/>
        <w:spacing w:before="120"/>
        <w:rPr>
          <w:b/>
        </w:rPr>
      </w:pPr>
      <w:hyperlink w:anchor="_Toc262081" w:history="1">
        <w:r>
          <w:rPr>
            <w:b/>
          </w:rPr>
          <w:t>7.</w:t>
        </w:r>
        <w:r>
          <w:rPr>
            <w:b/>
          </w:rPr>
          <w:tab/>
          <w:t>ΟΔΗΓΙΕΣ ΑΣΦΑΛΟΥΣ ΕΡΓΑΣΙΑΣ</w:t>
        </w:r>
        <w:r>
          <w:rPr>
            <w:b/>
          </w:rPr>
          <w:tab/>
        </w:r>
      </w:hyperlink>
      <w:r>
        <w:rPr>
          <w:b/>
        </w:rPr>
        <w:fldChar w:fldCharType="begin"/>
      </w:r>
      <w:r>
        <w:rPr>
          <w:b/>
        </w:rPr>
        <w:instrText>PAGEREF _Toc262081</w:instrText>
      </w:r>
      <w:r>
        <w:rPr>
          <w:b/>
        </w:rPr>
        <w:fldChar w:fldCharType="separate"/>
      </w:r>
      <w:r w:rsidR="00F30A5B">
        <w:rPr>
          <w:b/>
          <w:noProof/>
        </w:rPr>
        <w:t>4</w:t>
      </w:r>
      <w:r>
        <w:rPr>
          <w:b/>
        </w:rPr>
        <w:fldChar w:fldCharType="end"/>
      </w:r>
    </w:p>
    <w:p w:rsidR="00E27E79" w:rsidRDefault="00C449A6">
      <w:pPr>
        <w:pStyle w:val="10"/>
        <w:spacing w:before="120"/>
        <w:rPr>
          <w:b/>
        </w:rPr>
      </w:pPr>
      <w:hyperlink w:anchor="_Toc429194463" w:history="1">
        <w:r>
          <w:rPr>
            <w:b/>
          </w:rPr>
          <w:t>ΠΑΡΑΡΤΗΜΑ 1: ΜΕΛΕΤΕΣ ΤΟΥ ΕΡΓΟΥ - ΣΧΕΔΙΑ «AS BUILT»</w:t>
        </w:r>
        <w:r>
          <w:rPr>
            <w:b/>
          </w:rPr>
          <w:tab/>
        </w:r>
      </w:hyperlink>
      <w:r>
        <w:rPr>
          <w:b/>
        </w:rPr>
        <w:fldChar w:fldCharType="begin"/>
      </w:r>
      <w:r>
        <w:rPr>
          <w:b/>
        </w:rPr>
        <w:instrText>PAGEREF _Toc429194463</w:instrText>
      </w:r>
      <w:r>
        <w:rPr>
          <w:b/>
        </w:rPr>
        <w:fldChar w:fldCharType="separate"/>
      </w:r>
      <w:r w:rsidR="00F30A5B">
        <w:rPr>
          <w:b/>
          <w:noProof/>
        </w:rPr>
        <w:t>6</w:t>
      </w:r>
      <w:r>
        <w:rPr>
          <w:b/>
        </w:rPr>
        <w:fldChar w:fldCharType="end"/>
      </w:r>
    </w:p>
    <w:p w:rsidR="00E27E79" w:rsidRDefault="00C449A6">
      <w:pPr>
        <w:pStyle w:val="10"/>
        <w:spacing w:before="120"/>
        <w:rPr>
          <w:b/>
        </w:rPr>
      </w:pPr>
      <w:hyperlink w:anchor="_Toc262083" w:history="1">
        <w:r>
          <w:rPr>
            <w:b/>
          </w:rPr>
          <w:t>ΠΑΡΑΡΤΗΜΑ 2: ΜΗΤΡΩΟ ΕΠΕΜΒΑΣΕΩΝ</w:t>
        </w:r>
        <w:r>
          <w:rPr>
            <w:b/>
          </w:rPr>
          <w:tab/>
        </w:r>
      </w:hyperlink>
      <w:r>
        <w:rPr>
          <w:b/>
        </w:rPr>
        <w:fldChar w:fldCharType="begin"/>
      </w:r>
      <w:r>
        <w:rPr>
          <w:b/>
        </w:rPr>
        <w:instrText>PAGEREF _Toc262083</w:instrText>
      </w:r>
      <w:r>
        <w:rPr>
          <w:b/>
        </w:rPr>
        <w:fldChar w:fldCharType="separate"/>
      </w:r>
      <w:r w:rsidR="00F30A5B">
        <w:rPr>
          <w:b/>
          <w:noProof/>
        </w:rPr>
        <w:t>6</w:t>
      </w:r>
      <w:r>
        <w:rPr>
          <w:b/>
        </w:rPr>
        <w:fldChar w:fldCharType="end"/>
      </w:r>
    </w:p>
    <w:p w:rsidR="00E27E79" w:rsidRDefault="00C449A6">
      <w:pPr>
        <w:pStyle w:val="10"/>
        <w:spacing w:before="120"/>
        <w:rPr>
          <w:b/>
        </w:rPr>
      </w:pPr>
      <w:hyperlink w:anchor="_Toc452061071" w:history="1">
        <w:r>
          <w:rPr>
            <w:b/>
          </w:rPr>
          <w:t>ΠΑΡΑΡΤΗΜΑ 3: ΕΝΔΕΙΚΤΙΚΗ ΝΟΜΟΘΕΣΙΑ</w:t>
        </w:r>
        <w:r>
          <w:rPr>
            <w:b/>
          </w:rPr>
          <w:tab/>
        </w:r>
      </w:hyperlink>
      <w:r>
        <w:rPr>
          <w:b/>
        </w:rPr>
        <w:fldChar w:fldCharType="begin"/>
      </w:r>
      <w:r>
        <w:rPr>
          <w:b/>
        </w:rPr>
        <w:instrText>PAGEREF _Toc452061071</w:instrText>
      </w:r>
      <w:r>
        <w:rPr>
          <w:b/>
        </w:rPr>
        <w:fldChar w:fldCharType="separate"/>
      </w:r>
      <w:r w:rsidR="00F30A5B">
        <w:rPr>
          <w:b/>
          <w:noProof/>
        </w:rPr>
        <w:t>6</w:t>
      </w:r>
      <w:r>
        <w:rPr>
          <w:b/>
        </w:rPr>
        <w:fldChar w:fldCharType="end"/>
      </w:r>
    </w:p>
    <w:p w:rsidR="00E27E79" w:rsidRDefault="00C449A6">
      <w:pPr>
        <w:pStyle w:val="10"/>
        <w:spacing w:before="120"/>
        <w:rPr>
          <w:b/>
        </w:rPr>
      </w:pPr>
      <w:hyperlink w:anchor="_Toc1157485412" w:history="1">
        <w:r>
          <w:rPr>
            <w:b/>
          </w:rPr>
          <w:t>ΠΑΡΑΡΤΗΜΑ 4: ΣΗΜΑΝΣΗ</w:t>
        </w:r>
        <w:r>
          <w:rPr>
            <w:b/>
          </w:rPr>
          <w:tab/>
        </w:r>
      </w:hyperlink>
      <w:r>
        <w:rPr>
          <w:b/>
        </w:rPr>
        <w:fldChar w:fldCharType="begin"/>
      </w:r>
      <w:r>
        <w:rPr>
          <w:b/>
        </w:rPr>
        <w:instrText>PAGE</w:instrText>
      </w:r>
      <w:r>
        <w:rPr>
          <w:b/>
        </w:rPr>
        <w:instrText>REF _Toc1157485412</w:instrText>
      </w:r>
      <w:r>
        <w:rPr>
          <w:b/>
        </w:rPr>
        <w:fldChar w:fldCharType="separate"/>
      </w:r>
      <w:r w:rsidR="00F30A5B">
        <w:rPr>
          <w:b/>
          <w:noProof/>
        </w:rPr>
        <w:t>12</w:t>
      </w:r>
      <w:r>
        <w:rPr>
          <w:b/>
        </w:rPr>
        <w:fldChar w:fldCharType="end"/>
      </w:r>
    </w:p>
    <w:p w:rsidR="00E27E79" w:rsidRDefault="00C449A6">
      <w:pPr>
        <w:pStyle w:val="10"/>
        <w:rPr>
          <w:sz w:val="22"/>
        </w:rPr>
      </w:pPr>
      <w:r>
        <w:rPr>
          <w:b/>
        </w:rPr>
        <w:fldChar w:fldCharType="end"/>
      </w:r>
    </w:p>
    <w:p w:rsidR="00E27E79" w:rsidRDefault="00E27E79"/>
    <w:p w:rsidR="00E27E79" w:rsidRDefault="00E27E79">
      <w:pPr>
        <w:pStyle w:val="10"/>
      </w:pPr>
    </w:p>
    <w:p w:rsidR="00E27E79" w:rsidRDefault="00E27E79">
      <w:pPr>
        <w:pStyle w:val="1"/>
        <w:spacing w:before="480"/>
        <w:ind w:hanging="360"/>
      </w:pPr>
      <w:bookmarkStart w:id="2" w:name="_Toc259691"/>
      <w:bookmarkStart w:id="3" w:name="_Toc262075"/>
    </w:p>
    <w:p w:rsidR="00E27E79" w:rsidRDefault="00C449A6">
      <w:pPr>
        <w:pStyle w:val="1"/>
        <w:numPr>
          <w:ilvl w:val="0"/>
          <w:numId w:val="1"/>
        </w:numPr>
        <w:spacing w:before="480"/>
      </w:pPr>
      <w:r>
        <w:br w:type="page"/>
      </w:r>
      <w:bookmarkStart w:id="4" w:name="_Toc566315084"/>
      <w:r>
        <w:lastRenderedPageBreak/>
        <w:t>ΕΙΣΑΓΩΓΗ</w:t>
      </w:r>
      <w:bookmarkEnd w:id="2"/>
      <w:bookmarkEnd w:id="3"/>
      <w:bookmarkEnd w:id="4"/>
    </w:p>
    <w:p w:rsidR="00E27E79" w:rsidRDefault="00C449A6">
      <w:r>
        <w:t>Ο παρών ΦΑΥ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w:t>
      </w:r>
      <w:r>
        <w:t>Κ 212Α, 29/8/1996 και αποσκοπεί στην πρόληψη των κινδύνων κατά τις ενδεχόμενες μεταγενέστερες εργασίες καθ΄ όλη τη διάρκεια ζωής του έργου</w:t>
      </w:r>
    </w:p>
    <w:p w:rsidR="00E27E79" w:rsidRDefault="00C449A6">
      <w:r>
        <w:t>Οι προβλέψεις του παρόντος ΦΑΥ στηρίζονται:</w:t>
      </w:r>
    </w:p>
    <w:p w:rsidR="00E27E79" w:rsidRDefault="00C449A6">
      <w:pPr>
        <w:pStyle w:val="a5"/>
        <w:numPr>
          <w:ilvl w:val="0"/>
          <w:numId w:val="2"/>
        </w:numPr>
      </w:pPr>
      <w:r>
        <w:t>Στην Ελληνική Νομοθεσία (Νομοθετήματα που αφορούν στην Υγιεινή, Υγεία και</w:t>
      </w:r>
      <w:r>
        <w:t xml:space="preserve">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E27E79" w:rsidRDefault="00C449A6">
      <w:pPr>
        <w:pStyle w:val="a5"/>
        <w:numPr>
          <w:ilvl w:val="0"/>
          <w:numId w:val="2"/>
        </w:numPr>
      </w:pPr>
      <w:r>
        <w:t>Σε προδιαγραφές εξοπλισμού που πρόκειται να ενσωματωθεί στο έργο.</w:t>
      </w:r>
    </w:p>
    <w:p w:rsidR="00E27E79" w:rsidRDefault="00C449A6">
      <w:pPr>
        <w:pStyle w:val="a5"/>
        <w:numPr>
          <w:ilvl w:val="0"/>
          <w:numId w:val="2"/>
        </w:numPr>
      </w:pPr>
      <w:r>
        <w:t>Σε προδιαγραφές υλικών που πρόκειται να ενσωμ</w:t>
      </w:r>
      <w:r>
        <w:t>ατωθούν στο έργο.</w:t>
      </w:r>
    </w:p>
    <w:p w:rsidR="00E27E79" w:rsidRDefault="00C449A6">
      <w:pPr>
        <w:pStyle w:val="a5"/>
        <w:numPr>
          <w:ilvl w:val="0"/>
          <w:numId w:val="2"/>
        </w:numPr>
      </w:pPr>
      <w:r>
        <w:t>Στην καλή πρακτική, σύμφωνα με τους κανόνες των διεθνών προτύπων, της εμπειρίας και τέχνης.</w:t>
      </w:r>
    </w:p>
    <w:p w:rsidR="00E27E79" w:rsidRDefault="00C449A6">
      <w:r>
        <w:rPr>
          <w:b/>
        </w:rPr>
        <w:t xml:space="preserve">ΣΗΜΕΙΩΣΗ: </w:t>
      </w:r>
      <w:r>
        <w:t xml:space="preserve">Μετά την εκτέλεση του έργου, ο αναθεωρημένος ΦΑΥ πρέπει να παραδοθεί στον Κύριο του έργου. Σημειώνεται ότι σε περίπτωση διαχωρισμού του </w:t>
      </w:r>
      <w:r>
        <w:t>έργου σε επιμέρους ιδιοκτήτες, κάθε ιδιοκτήτης πρέπει να λάβει αντίγραφο του ΦΑΥ.</w:t>
      </w:r>
    </w:p>
    <w:p w:rsidR="00E27E79" w:rsidRDefault="00C449A6">
      <w:r>
        <w:t>Ο ΦΑΥ περιέχει χρήσιμα στοιχεία για την ασφαλή λειτουργία και συντήρηση του έργου καθώς και για εργασίες μετατροπής του. Συνεπώς πρέπει να λαμβάνεται υπόψη κάθε φορά που κρίν</w:t>
      </w:r>
      <w:r>
        <w:t>εται απαραίτητο από τους εμπλεκόμενους και να ενημερώνεται εφόσον προκύπτουν στοιχεία.</w:t>
      </w:r>
    </w:p>
    <w:p w:rsidR="00E27E79" w:rsidRDefault="00C449A6">
      <w:r>
        <w:t xml:space="preserve">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w:t>
      </w:r>
      <w:r>
        <w:t>Εργασία του Σώματος Επιθεώρησης Εργασίας (Σ.Ε.Π.Ε.).</w:t>
      </w:r>
    </w:p>
    <w:p w:rsidR="00E27E79" w:rsidRDefault="00C449A6">
      <w:r>
        <w:rPr>
          <w:b/>
        </w:rPr>
        <w:t xml:space="preserve">ΠΡΟΣΟΧΗ: </w:t>
      </w:r>
      <w:r>
        <w:t xml:space="preserve">Ο παρών ΦΑΥ σε καμία περίπτωση δεν υποκαθιστά την Ελληνική Νομοθεσία. </w:t>
      </w:r>
    </w:p>
    <w:p w:rsidR="00E27E79" w:rsidRDefault="00C449A6">
      <w:pPr>
        <w:pStyle w:val="1"/>
        <w:numPr>
          <w:ilvl w:val="0"/>
          <w:numId w:val="1"/>
        </w:numPr>
        <w:spacing w:before="480"/>
        <w:ind w:left="357" w:hanging="357"/>
        <w:jc w:val="both"/>
      </w:pPr>
      <w:bookmarkStart w:id="5" w:name="_Toc259692"/>
      <w:bookmarkStart w:id="6" w:name="_Toc262076"/>
      <w:r>
        <w:t>ΣΥΝΤΟΜΗ ΤΕΧΝΙΚΗ ΠΕΡΙΓΡΑΦΗ</w:t>
      </w:r>
      <w:bookmarkEnd w:id="5"/>
      <w:bookmarkEnd w:id="6"/>
    </w:p>
    <w:p w:rsidR="00E27E79" w:rsidRDefault="00C449A6">
      <w:pPr>
        <w:pStyle w:val="a6"/>
        <w:rPr>
          <w:rFonts w:ascii="Arial" w:hAnsi="Arial"/>
        </w:rPr>
      </w:pPr>
      <w:r>
        <w:rPr>
          <w:rFonts w:ascii="Arial" w:hAnsi="Arial"/>
        </w:rPr>
        <w:t>Το εν λόγω έργο αφορά εργασίες αναβάθμισης - ανακαίνησης του 8ου Δημοτικού σχολείου Κορινθου το οπίο έχει καθοριστεί για την ίδρυση Δομής Υποδοχής για την εκπαίδευση των Προσφυγοπαίδων, βάση του ΦΕΚ  Β΄3605/29.08.2020</w:t>
      </w:r>
    </w:p>
    <w:p w:rsidR="00E27E79" w:rsidRDefault="00C449A6">
      <w:pPr>
        <w:spacing w:after="60" w:line="276" w:lineRule="auto"/>
        <w:jc w:val="both"/>
        <w:rPr>
          <w:b/>
        </w:rPr>
      </w:pPr>
      <w:r>
        <w:rPr>
          <w:b/>
        </w:rPr>
        <w:t>ΕΙΔΟΣ ΕΡΓΟΥ ΚΑΙ ΧΡΗΣΗ:  ΟΙΚΟΔΟΜΙΚΟ</w:t>
      </w:r>
    </w:p>
    <w:p w:rsidR="00E27E79" w:rsidRDefault="00C449A6">
      <w:pPr>
        <w:spacing w:after="60" w:line="276" w:lineRule="auto"/>
        <w:jc w:val="both"/>
        <w:rPr>
          <w:b/>
        </w:rPr>
      </w:pPr>
      <w:r>
        <w:rPr>
          <w:b/>
        </w:rPr>
        <w:t>ΠΕΡ</w:t>
      </w:r>
      <w:r>
        <w:rPr>
          <w:b/>
        </w:rPr>
        <w:t xml:space="preserve">ΙΟΧΗ ΕΡΓΟΥ:  </w:t>
      </w:r>
      <w:r>
        <w:rPr>
          <w:rFonts w:ascii="Arial" w:hAnsi="Arial"/>
        </w:rPr>
        <w:t>8ο Δημοτικό σχολείο Κορίνθου</w:t>
      </w:r>
    </w:p>
    <w:p w:rsidR="00E27E79" w:rsidRDefault="00C449A6">
      <w:pPr>
        <w:spacing w:after="60" w:line="276" w:lineRule="auto"/>
        <w:jc w:val="both"/>
        <w:rPr>
          <w:rFonts w:ascii="Arial" w:hAnsi="Arial"/>
        </w:rPr>
      </w:pPr>
      <w:r>
        <w:rPr>
          <w:b/>
        </w:rPr>
        <w:t xml:space="preserve">ΠΡΟΣΒΑΣΗ ΣΤΟ ΕΡΓΟ:    </w:t>
      </w:r>
      <w:r>
        <w:rPr>
          <w:rFonts w:ascii="Arial" w:hAnsi="Arial"/>
        </w:rPr>
        <w:t>οδικό δίκτυο</w:t>
      </w:r>
    </w:p>
    <w:p w:rsidR="00E27E79" w:rsidRDefault="00C449A6">
      <w:pPr>
        <w:spacing w:after="60" w:line="276" w:lineRule="auto"/>
        <w:rPr>
          <w:b/>
        </w:rPr>
      </w:pPr>
      <w:r>
        <w:rPr>
          <w:b/>
        </w:rPr>
        <w:t xml:space="preserve">ΑΡΙΘΜΟΣ ΑΔΕΙΑΣ:  </w:t>
      </w:r>
    </w:p>
    <w:p w:rsidR="00E27E79" w:rsidRDefault="00C449A6">
      <w:pPr>
        <w:spacing w:after="60" w:line="276" w:lineRule="auto"/>
        <w:rPr>
          <w:b/>
        </w:rPr>
      </w:pPr>
      <w:r>
        <w:rPr>
          <w:b/>
        </w:rPr>
        <w:t xml:space="preserve">ΚΥΡΙΟΣ ΤΟΥ ΕΡΓΟΥ:  </w:t>
      </w:r>
    </w:p>
    <w:p w:rsidR="00E27E79" w:rsidRDefault="00C449A6">
      <w:pPr>
        <w:spacing w:after="60" w:line="276" w:lineRule="auto"/>
        <w:rPr>
          <w:b/>
        </w:rPr>
      </w:pPr>
      <w:r>
        <w:rPr>
          <w:b/>
        </w:rPr>
        <w:t>ΣΥΝΤΟΝΙΣΤΗΣ ΑΣΦΑΛΕΙΑΣ:</w:t>
      </w:r>
    </w:p>
    <w:p w:rsidR="00E27E79" w:rsidRDefault="00C449A6">
      <w:r>
        <w:rPr>
          <w:b/>
        </w:rPr>
        <w:t xml:space="preserve">ΣΗΜΕΙΩΣΗ: </w:t>
      </w:r>
      <w:r>
        <w:t>Σε περίπτωση που ακολουθήσουν τροποποιήσεις της μελέτης κατά τη διάρκεια των εργασιών, ο Συντονιστής Ασφάλει</w:t>
      </w:r>
      <w:r>
        <w:t>ας κατά την εκτέλεση του έργου οφείλει να ενημερώσει την παρούσα σύντομη τεχνική περιγραφή, ώστε να ανταποκρίνεται στα πραγματικά δεδομένα.</w:t>
      </w:r>
    </w:p>
    <w:p w:rsidR="00E27E79" w:rsidRDefault="00E27E79"/>
    <w:p w:rsidR="00E27E79" w:rsidRDefault="00C449A6">
      <w:pPr>
        <w:pStyle w:val="1"/>
        <w:numPr>
          <w:ilvl w:val="0"/>
          <w:numId w:val="1"/>
        </w:numPr>
        <w:spacing w:before="720"/>
        <w:ind w:left="357" w:hanging="357"/>
        <w:jc w:val="both"/>
      </w:pPr>
      <w:bookmarkStart w:id="7" w:name="_Toc259693"/>
      <w:bookmarkStart w:id="8" w:name="_Toc262077"/>
      <w:r>
        <w:lastRenderedPageBreak/>
        <w:t>ΚΑΝΟΝΙΣΜΟΙ</w:t>
      </w:r>
      <w:bookmarkEnd w:id="7"/>
      <w:bookmarkEnd w:id="8"/>
    </w:p>
    <w:p w:rsidR="00E27E79" w:rsidRDefault="00C449A6">
      <w:r>
        <w:t>Οι Κανονισμοί με βάση του οποίους συντάχθηκε η μελέτη αναφέρονται παρακάτω.</w:t>
      </w:r>
    </w:p>
    <w:p w:rsidR="00E27E79" w:rsidRDefault="00C449A6">
      <w:r>
        <w:t>…………………………</w:t>
      </w:r>
    </w:p>
    <w:p w:rsidR="00E27E79" w:rsidRDefault="00C449A6">
      <w:r>
        <w:t>………………………..</w:t>
      </w:r>
    </w:p>
    <w:p w:rsidR="00E27E79" w:rsidRDefault="00E27E79"/>
    <w:p w:rsidR="00E27E79" w:rsidRDefault="00C449A6">
      <w:r>
        <w:rPr>
          <w:b/>
        </w:rPr>
        <w:t xml:space="preserve">ΣΗΜΕΙΩΣΗ: </w:t>
      </w:r>
      <w:r>
        <w:t>Σε περίπτωση τροποποιήσεων της μελέτης ο κατάλογος των Κανονισμών πρέπει να ενημερώνεται, ώστε να ανταποκρίνεται στα πραγματικά δεδομένα.</w:t>
      </w:r>
    </w:p>
    <w:p w:rsidR="00E27E79" w:rsidRDefault="00C449A6">
      <w:pPr>
        <w:pStyle w:val="1"/>
        <w:numPr>
          <w:ilvl w:val="0"/>
          <w:numId w:val="1"/>
        </w:numPr>
        <w:spacing w:before="480"/>
        <w:ind w:left="357" w:hanging="357"/>
        <w:jc w:val="both"/>
      </w:pPr>
      <w:bookmarkStart w:id="9" w:name="_Toc259694"/>
      <w:bookmarkStart w:id="10" w:name="_Toc262078"/>
      <w:r>
        <w:t>ΠΑΡΑΔΟΧΕΣ</w:t>
      </w:r>
      <w:bookmarkEnd w:id="9"/>
      <w:bookmarkEnd w:id="10"/>
    </w:p>
    <w:p w:rsidR="00E27E79" w:rsidRDefault="00C449A6">
      <w:r>
        <w:t>Οι παραδοχές που ακολουθούν προέρχονται από τη μελέτη. Οι παραδοχές δεν υποκαθιστούν και δεν υπερι</w:t>
      </w:r>
      <w:r>
        <w:t>σχύουν των αντίστοιχων της μελέτης.</w:t>
      </w:r>
    </w:p>
    <w:p w:rsidR="00E27E79" w:rsidRDefault="00C449A6">
      <w:r>
        <w:t>…………………………</w:t>
      </w:r>
    </w:p>
    <w:p w:rsidR="00E27E79" w:rsidRDefault="00C449A6">
      <w:r>
        <w:t>………………………..</w:t>
      </w:r>
    </w:p>
    <w:p w:rsidR="00E27E79" w:rsidRDefault="00C449A6">
      <w:r>
        <w:rPr>
          <w:b/>
        </w:rPr>
        <w:t xml:space="preserve">ΣΗΜΕΙΩΣΗ: </w:t>
      </w:r>
      <w:r>
        <w:t>Σε περίπτωση τροποποιήσεων της μελέτης, ο κατάλογος των παραδοχών πρέπει να ενημερώνεται, ώστε να ανταποκρίνονται στα πραγματικά δεδομένα.</w:t>
      </w:r>
    </w:p>
    <w:p w:rsidR="00E27E79" w:rsidRDefault="00C449A6">
      <w:pPr>
        <w:pStyle w:val="1"/>
        <w:numPr>
          <w:ilvl w:val="0"/>
          <w:numId w:val="1"/>
        </w:numPr>
        <w:spacing w:before="480"/>
        <w:ind w:left="357" w:hanging="357"/>
        <w:jc w:val="both"/>
      </w:pPr>
      <w:bookmarkStart w:id="11" w:name="_Toc259695"/>
      <w:bookmarkStart w:id="12" w:name="_Toc262079"/>
      <w:r>
        <w:t>ΥΛΙΚΑ</w:t>
      </w:r>
      <w:bookmarkEnd w:id="11"/>
      <w:bookmarkEnd w:id="12"/>
    </w:p>
    <w:p w:rsidR="00E27E79" w:rsidRDefault="00C449A6">
      <w:r>
        <w:t>Τα υλικά που πρόκειται να ενσωματωθούν στο</w:t>
      </w:r>
      <w:r>
        <w:t xml:space="preserve"> έργο πρέπει να είναι σύμφωνα με τα αναφερόμενα στις Τεχνικές Προδιαγραφές Υλικών.</w:t>
      </w:r>
    </w:p>
    <w:p w:rsidR="00E27E79" w:rsidRDefault="00C449A6">
      <w:r>
        <w:t>…………………………</w:t>
      </w:r>
    </w:p>
    <w:p w:rsidR="00E27E79" w:rsidRDefault="00C449A6">
      <w:r>
        <w:t>………………………..</w:t>
      </w:r>
    </w:p>
    <w:p w:rsidR="00E27E79" w:rsidRDefault="00C449A6">
      <w:r>
        <w:rPr>
          <w:b/>
        </w:rPr>
        <w:t xml:space="preserve">ΣΗΜΕΙΩΣΗ: </w:t>
      </w:r>
      <w:r>
        <w:t>Το παρόν κεφάλαιο του ΦΑΥ πρέπει να ενημερώνεται, σύμφωνα με τις Τεχνικές Προδιαγραφές Υλικών που ενσωματώνονται στο έργο. Ιδιαίτερα χρήσιμη</w:t>
      </w:r>
      <w:r>
        <w:t xml:space="preserve"> κρίνεται η απευθείας παραπομπή στο Πρόγραμμα Ποιότητας Έργου (ΠΠΕ).</w:t>
      </w:r>
    </w:p>
    <w:p w:rsidR="00E27E79" w:rsidRDefault="00C449A6">
      <w:pPr>
        <w:pStyle w:val="1"/>
        <w:numPr>
          <w:ilvl w:val="0"/>
          <w:numId w:val="1"/>
        </w:numPr>
        <w:spacing w:before="480"/>
        <w:ind w:left="357" w:hanging="357"/>
        <w:jc w:val="both"/>
      </w:pPr>
      <w:bookmarkStart w:id="13" w:name="_Toc259696"/>
      <w:bookmarkStart w:id="14" w:name="_Toc262080"/>
      <w:r>
        <w:t>ΧΡΗΣΙΜΕΣ ΕΠΙΣΗΜΑΝΣΕΙΣ</w:t>
      </w:r>
      <w:bookmarkEnd w:id="13"/>
      <w:bookmarkEnd w:id="14"/>
    </w:p>
    <w:p w:rsidR="00E27E79" w:rsidRDefault="00C449A6">
      <w:r>
        <w:t>Για τις εργασίες συντήρησης καθώς και μελλοντικές επεμβάσεις στο έργο κρίνεται χρήσιμο να ληφθούν υπόψη οι επισημάνσεις που αναφέρονται παρακάτω.</w:t>
      </w:r>
    </w:p>
    <w:p w:rsidR="00E27E79" w:rsidRDefault="00C449A6">
      <w:r>
        <w:t>…………………………</w:t>
      </w:r>
    </w:p>
    <w:p w:rsidR="00E27E79" w:rsidRDefault="00C449A6">
      <w:r>
        <w:t>……………………</w:t>
      </w:r>
      <w:r>
        <w:t>…..</w:t>
      </w:r>
    </w:p>
    <w:p w:rsidR="00E27E79" w:rsidRDefault="00C449A6">
      <w:r>
        <w:rPr>
          <w:b/>
        </w:rPr>
        <w:t xml:space="preserve">ΣΗΜΕΙΩΣΗ: </w:t>
      </w:r>
      <w:r>
        <w:t>Σε περίπτωση τροποποιήσεων της μελέτης, οι παρακάτω επισημάνσεις πρέπει να ενημερώνονται, ώστε να ανταποκρίνονται στα πραγματικά δεδομένα.</w:t>
      </w:r>
    </w:p>
    <w:p w:rsidR="00E27E79" w:rsidRDefault="00C449A6">
      <w:pPr>
        <w:pStyle w:val="1"/>
        <w:numPr>
          <w:ilvl w:val="0"/>
          <w:numId w:val="1"/>
        </w:numPr>
        <w:spacing w:before="720"/>
        <w:ind w:left="357" w:hanging="357"/>
      </w:pPr>
      <w:bookmarkStart w:id="15" w:name="_Toc259697"/>
      <w:bookmarkStart w:id="16" w:name="_Toc262081"/>
      <w:r>
        <w:t>ΟΔΗΓΙΕΣ ΑΣΦΑΛΟΥΣ ΕΡΓΑΣΙΑΣ</w:t>
      </w:r>
      <w:bookmarkEnd w:id="15"/>
      <w:bookmarkEnd w:id="16"/>
    </w:p>
    <w:p w:rsidR="00E27E79" w:rsidRDefault="00C449A6">
      <w:r>
        <w:t>Σε ειδικό παράρτημα στο τέλος αυτού του τεύχους παρατίθενται οι Οδηγίες Ασφαλ</w:t>
      </w:r>
      <w:r>
        <w:t>ούς Εργασίας σε πινακοποιημένη μορφή για εύκολη ανάγνωση και αναζήτηση. Οι οδηγίες αφορούν στις εργασίες συντήρησης, καθαρισμού, μετατροπής,  που αναμένονται, κατά τη διάρκεια ζωής του έργου.</w:t>
      </w:r>
    </w:p>
    <w:p w:rsidR="00E27E79" w:rsidRDefault="00C449A6">
      <w:r>
        <w:t>Κάθε Οδηγία Ασφαλούς Εργασίας περιέχει:</w:t>
      </w:r>
    </w:p>
    <w:p w:rsidR="00E27E79" w:rsidRDefault="00C449A6">
      <w:pPr>
        <w:pStyle w:val="a5"/>
        <w:numPr>
          <w:ilvl w:val="0"/>
          <w:numId w:val="3"/>
        </w:numPr>
      </w:pPr>
      <w:r>
        <w:lastRenderedPageBreak/>
        <w:t>Περιγραφή των προτεινόμε</w:t>
      </w:r>
      <w:r>
        <w:t>νων μέτρων προστασίας για την αντιμετώπιση των κινδύνων</w:t>
      </w:r>
    </w:p>
    <w:p w:rsidR="00E27E79" w:rsidRDefault="00C449A6">
      <w:pPr>
        <w:pStyle w:val="a5"/>
        <w:numPr>
          <w:ilvl w:val="0"/>
          <w:numId w:val="3"/>
        </w:numPr>
      </w:pPr>
      <w:r>
        <w:t xml:space="preserve">Αναφορά των απαραίτητων Μέσων Ατομικής Προστασίας που πρέπει να χρησιμοποιούνται από το προσωπικό </w:t>
      </w:r>
    </w:p>
    <w:p w:rsidR="00E27E79" w:rsidRDefault="00E27E79"/>
    <w:p w:rsidR="00E27E79" w:rsidRDefault="00C449A6">
      <w:r>
        <w:rPr>
          <w:b/>
        </w:rPr>
        <w:t xml:space="preserve">ΣΗΜΕΙΩΣΗ: </w:t>
      </w:r>
      <w:r>
        <w:t>Ο Τεχνικός Ασφάλειας του συνεργείου που θα εκτελέσει τις συγκεκριμένες εργασίες οφείλει να</w:t>
      </w:r>
      <w:r>
        <w:t xml:space="preserve">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τόσο της Οδηγίας Ασφαλούς Εργασίας όσο και της Εκτίμησης Επαγγελματικού Κινδύνου. </w:t>
      </w:r>
    </w:p>
    <w:p w:rsidR="00E27E79" w:rsidRDefault="00E27E79"/>
    <w:p w:rsidR="00E27E79" w:rsidRDefault="00C449A6">
      <w:r>
        <w:br w:type="page"/>
      </w:r>
    </w:p>
    <w:p w:rsidR="00E27E79" w:rsidRDefault="00C449A6">
      <w:pPr>
        <w:pStyle w:val="1"/>
        <w:spacing w:before="60"/>
      </w:pPr>
      <w:bookmarkStart w:id="17" w:name="_Toc259698"/>
      <w:bookmarkStart w:id="18" w:name="_Toc262082"/>
      <w:bookmarkStart w:id="19" w:name="_Toc429194463"/>
      <w:r>
        <w:lastRenderedPageBreak/>
        <w:t>ΠΑΡΑΡΤΗΜΑ 1: ΜΕΛΕΤ</w:t>
      </w:r>
      <w:r>
        <w:t>ΕΣ ΤΟΥ ΕΡΓΟΥ - ΣΧΕΔΙΑ «AS BUILT»</w:t>
      </w:r>
      <w:bookmarkEnd w:id="17"/>
      <w:bookmarkEnd w:id="18"/>
      <w:r>
        <w:t xml:space="preserve">   </w:t>
      </w:r>
      <w:bookmarkEnd w:id="19"/>
    </w:p>
    <w:p w:rsidR="00E27E79" w:rsidRDefault="00C449A6">
      <w:pPr>
        <w:rPr>
          <w:sz w:val="24"/>
        </w:rPr>
      </w:pPr>
      <w:r>
        <w:t>Ο Συντονιστής Ασφαλείας κατά την εκτέλεση του έργου οφείλει να συμπεριλάβει στο παρόν</w:t>
      </w:r>
      <w:r>
        <w:rPr>
          <w:sz w:val="24"/>
        </w:rPr>
        <w:t xml:space="preserve"> </w:t>
      </w:r>
      <w:r>
        <w:t>κεφάλαιο του ΦΑΥ κατάλογο των μελετών εφαρμογής και των "as built" σχεδίων του έργου.</w:t>
      </w:r>
    </w:p>
    <w:p w:rsidR="00E27E79" w:rsidRDefault="00C449A6">
      <w:pPr>
        <w:rPr>
          <w:sz w:val="24"/>
        </w:rPr>
      </w:pPr>
      <w:r>
        <w:t xml:space="preserve">AS BUILT  </w:t>
      </w:r>
    </w:p>
    <w:p w:rsidR="00E27E79" w:rsidRDefault="00C449A6">
      <w:r>
        <w:t>…………………………</w:t>
      </w:r>
    </w:p>
    <w:p w:rsidR="00E27E79" w:rsidRDefault="00C449A6">
      <w:r>
        <w:t>………………………..</w:t>
      </w:r>
    </w:p>
    <w:p w:rsidR="00E27E79" w:rsidRDefault="00C449A6">
      <w:pPr>
        <w:pStyle w:val="1"/>
        <w:spacing w:before="480"/>
      </w:pPr>
      <w:bookmarkStart w:id="20" w:name="_Toc259699"/>
      <w:bookmarkStart w:id="21" w:name="_Toc262083"/>
      <w:r>
        <w:t>ΠΑΡΑΡΤΗΜΑ 2: Μ</w:t>
      </w:r>
      <w:r>
        <w:t>ΗΤΡΩΟ ΕΠΕΜΒΑΣΕΩΝ</w:t>
      </w:r>
      <w:bookmarkEnd w:id="20"/>
      <w:bookmarkEnd w:id="21"/>
    </w:p>
    <w:p w:rsidR="00E27E79" w:rsidRDefault="00C449A6">
      <w:r>
        <w:t>Παρακάτω παρουσιάζεται το μητρώο επεμβάσεων στο έργο. Το μητρώο επεμβάσεων στο έργο πρέπει να ενημερώνεται μετά από κάθε νέα επέμβαση σε αυτό, με τα στοιχεία που θα προκύπτουν κάθε φορά.</w:t>
      </w:r>
    </w:p>
    <w:p w:rsidR="00E27E79" w:rsidRDefault="00C449A6">
      <w:r>
        <w:t>…………………………</w:t>
      </w:r>
    </w:p>
    <w:p w:rsidR="00E27E79" w:rsidRDefault="00C449A6">
      <w:r>
        <w:t>………………………..</w:t>
      </w:r>
    </w:p>
    <w:p w:rsidR="00E27E79" w:rsidRDefault="00C449A6">
      <w:pPr>
        <w:pStyle w:val="1"/>
        <w:spacing w:before="480"/>
      </w:pPr>
      <w:bookmarkStart w:id="22" w:name="_Toc259700"/>
      <w:bookmarkStart w:id="23" w:name="_Toc262084"/>
      <w:bookmarkStart w:id="24" w:name="_Toc452061071"/>
      <w:r>
        <w:t xml:space="preserve">ΠΑΡΑΡΤΗΜΑ 3: ΕΝΔΕΙΚΤΙΚΗ </w:t>
      </w:r>
      <w:r>
        <w:t>ΝΟΜΟΘΕΣΙΑ</w:t>
      </w:r>
      <w:bookmarkEnd w:id="22"/>
      <w:bookmarkEnd w:id="23"/>
      <w:r>
        <w:t xml:space="preserve"> </w:t>
      </w:r>
      <w:bookmarkEnd w:id="24"/>
    </w:p>
    <w:p w:rsidR="00E27E79" w:rsidRDefault="00C449A6">
      <w:pPr>
        <w:spacing w:after="60"/>
        <w:rPr>
          <w:rFonts w:ascii="Arial" w:hAnsi="Arial"/>
          <w:b/>
        </w:rPr>
      </w:pPr>
      <w:r>
        <w:rPr>
          <w:rFonts w:ascii="Arial" w:hAnsi="Arial"/>
          <w:b/>
        </w:rPr>
        <w:t>2011 - 2019</w:t>
      </w:r>
    </w:p>
    <w:p w:rsidR="00E27E79" w:rsidRDefault="00C449A6">
      <w:pPr>
        <w:pStyle w:val="a5"/>
        <w:numPr>
          <w:ilvl w:val="0"/>
          <w:numId w:val="4"/>
        </w:numPr>
        <w:spacing w:after="0" w:line="275" w:lineRule="auto"/>
        <w:contextualSpacing w:val="0"/>
      </w:pPr>
      <w:hyperlink r:id="rId8" w:history="1">
        <w:r>
          <w:rPr>
            <w:color w:val="auto"/>
          </w:rPr>
          <w:t>Υ.Α.</w:t>
        </w:r>
        <w:r>
          <w:t>ο</w:t>
        </w:r>
        <w:r>
          <w:rPr>
            <w:color w:val="auto"/>
          </w:rPr>
          <w:t>ικ.74285/176/Φ113/2018</w:t>
        </w:r>
      </w:hyperlink>
      <w:r>
        <w:rPr>
          <w:color w:val="auto"/>
          <w:lang w:val="en-US"/>
        </w:rPr>
        <w:t> </w:t>
      </w:r>
      <w:r>
        <w:rPr>
          <w:color w:val="auto"/>
        </w:rPr>
        <w:t xml:space="preserve">Τροποποίηση-συμπλήρωση της οικ. 1032/166/Φ.Γ.9.6.4 (Η)’ (Β’ 519 6-3-2013) απόφασης του Υφυπουργού Ανάπτυξης, </w:t>
      </w:r>
      <w:r>
        <w:rPr>
          <w:color w:val="auto"/>
        </w:rPr>
        <w:t xml:space="preserve">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π.δ. 113/2012 (Α’ 198) και αντιστοίχιση των υφισταμένων αδειών που έχουν εκδοθεί σύμφωνα με </w:t>
      </w:r>
      <w:r>
        <w:rPr>
          <w:color w:val="auto"/>
        </w:rPr>
        <w:t>το π.δ. 22/1976 (Α’ 6) ή το π.δ. 31/1990 (Α’ 11) με τις άδειες που εκδίδονται κατ’ εφαρμογή του προεδρικού αυτού διατάγματος» όπως τροποποιήθηκε και ισχύε</w:t>
      </w:r>
      <w:r>
        <w:t>ι, ΦΕΚ 2942/Β`/20.7.2018</w:t>
      </w:r>
    </w:p>
    <w:p w:rsidR="00E27E79" w:rsidRDefault="00C449A6">
      <w:pPr>
        <w:numPr>
          <w:ilvl w:val="0"/>
          <w:numId w:val="4"/>
        </w:numPr>
        <w:spacing w:line="275" w:lineRule="auto"/>
      </w:pPr>
      <w:hyperlink r:id="rId9" w:history="1">
        <w:r>
          <w:t>Υ.Α.41320/1885/2018</w:t>
        </w:r>
      </w:hyperlink>
      <w:r>
        <w:rPr>
          <w:lang w:val="en-US"/>
        </w:rPr>
        <w:t> </w:t>
      </w:r>
      <w: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w:t>
      </w:r>
      <w:r>
        <w:t>ρωση του Κώδικα νόμων για την υγεία και την ασφάλεια των εργαζομένων» (ΦΕΚ Α΄ 84) όπως αυτό συμπληρώθηκε και ισχύει»</w:t>
      </w:r>
      <w:r>
        <w:t>, ΦΕΚ 3398/Β`/10.8.2018</w:t>
      </w:r>
    </w:p>
    <w:p w:rsidR="00E27E79" w:rsidRDefault="00C449A6">
      <w:pPr>
        <w:numPr>
          <w:ilvl w:val="0"/>
          <w:numId w:val="4"/>
        </w:numPr>
        <w:spacing w:line="275" w:lineRule="auto"/>
      </w:pPr>
      <w:r>
        <w:t>Υ.Α.οικ.74285/176/φ113/2018 Τροποποίηση-συμπλήρωση της οικ.1032/166/Φ.Γ.9.6.4 (Η)΄(Β΄΄519 6-3-2013) απόφασης του Υφυ</w:t>
      </w:r>
      <w:r>
        <w:t>πουργού Ανάπτυξης, Ανταγωνιστικότητας, Υποδομών, Μεταφορών και Δικτύων «</w:t>
      </w:r>
      <w:r>
        <w:rPr>
          <w:color w:val="333333"/>
        </w:rPr>
        <w:t>Κατάταξη των μηχανημάτων έργου σε ειδικότητες και ομάδες, ως προς τη δραστηριότητα του χειρισμού σύμφωνα με το π.δ. 113/2012 (198/Α) και αντιστοίχιση των υφιστάμενων αδειών που έχουν ε</w:t>
      </w:r>
      <w:r>
        <w:rPr>
          <w:color w:val="333333"/>
        </w:rPr>
        <w:t>κδοθεί σύμφωνα με το π.δ. 22/1976 (6/Α) ή το π.δ. 31/1990 (11/Α) με τις άδειες που εκδίδονται κατ εφαρμογή του προεδρικού αυτού διατάγματος» όπως τροποποιήθηκε και ισχύει</w:t>
      </w:r>
    </w:p>
    <w:p w:rsidR="00E27E79" w:rsidRDefault="00C449A6">
      <w:pPr>
        <w:numPr>
          <w:ilvl w:val="0"/>
          <w:numId w:val="4"/>
        </w:numPr>
        <w:spacing w:after="75"/>
      </w:pPr>
      <w:r>
        <w:t xml:space="preserve">Υ.Α.32126/1463/2018 </w:t>
      </w:r>
      <w:r>
        <w:t>Τροποποίηση της υπουργικής απόφασης 50067/28/27.11.2017 «Ηλεκτρον</w:t>
      </w:r>
      <w:r>
        <w:t>ική Βάση καταχώρισης δεδομένων Τεχνικών Ασφάλειας και διαδικασία ανάθεσης καθηκόντων Τεχνικού Ασφαλείας μέσω ΟΠΣ-ΣΕΠΕ»</w:t>
      </w:r>
      <w:r>
        <w:t>, ΦΕΚ 2404/Β`/25.6.2018</w:t>
      </w:r>
    </w:p>
    <w:p w:rsidR="00E27E79" w:rsidRDefault="00C449A6">
      <w:pPr>
        <w:numPr>
          <w:ilvl w:val="0"/>
          <w:numId w:val="4"/>
        </w:numPr>
        <w:spacing w:after="75"/>
      </w:pPr>
      <w:hyperlink r:id="rId10" w:history="1">
        <w:r>
          <w:t>Υ.Α.111/2017/2018</w:t>
        </w:r>
      </w:hyperlink>
      <w:r>
        <w:rPr>
          <w:lang w:val="en-US"/>
        </w:rPr>
        <w:t> </w:t>
      </w:r>
      <w:r>
        <w:t xml:space="preserve"> Τροποποίηση-Συ</w:t>
      </w:r>
      <w:r>
        <w:t xml:space="preserve">μπλήρωση της αριθμ. 3015811/2663 (ΦΕΚ 1410/Β΄/6.9.2010) κοινή υπουργική απόφαση σχετικά με τον καθορισμό μέτρων ελέγχου </w:t>
      </w:r>
      <w:r>
        <w:lastRenderedPageBreak/>
        <w:t>και κυρώσεων για την εκτέλεση του αριθμ. 1272/2008/ΕΚ κανονισμού του Ευρωπαϊκού Κοινοβουλίου και του Συμβουλίου και Κατάργηση της υπουργ</w:t>
      </w:r>
      <w:r>
        <w:t>ικής απόφασης 265/2002, (ΦΕΚ 1214/Β΄/19.9.2002) σχετικά με την ταξινόμηση, επισήμανση και συσκευασία επικίνδυνων παρασκευασμάτων και της αριθμ. 378/1994 κοινής υπουργικής απόφασης (ΦΕΚ 705/Β΄/20.9.1994) σχετικά με την ταξινόμηση, επισήμανση, συσκευασία και</w:t>
      </w:r>
      <w:r>
        <w:t xml:space="preserve"> επικίνδυνων ουσιών</w:t>
      </w:r>
      <w:r>
        <w:t>, ΦΕΚ 1876/Β`/24.5.2018</w:t>
      </w:r>
    </w:p>
    <w:p w:rsidR="00E27E79" w:rsidRDefault="00C449A6">
      <w:pPr>
        <w:numPr>
          <w:ilvl w:val="0"/>
          <w:numId w:val="4"/>
        </w:numPr>
        <w:spacing w:after="75"/>
      </w:pPr>
      <w:hyperlink r:id="rId11" w:history="1">
        <w:r>
          <w:t>Υ.Α.25049/1253/2018</w:t>
        </w:r>
      </w:hyperlink>
      <w:r>
        <w:rPr>
          <w:lang w:val="en-US"/>
        </w:rPr>
        <w:t> </w:t>
      </w:r>
      <w:r>
        <w:t xml:space="preserve"> Κύρωση του ειδικού καταλόγου Ιατρών του άρθρου 16 παρ.2 του «Κώδικα Νόμων για την Υγεία και την Ασφάλεια των ερ</w:t>
      </w:r>
      <w:r>
        <w:t>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w:t>
      </w:r>
      <w:r>
        <w:t>, ΦΕΚ 1580/Β`/8.5.2018</w:t>
      </w:r>
    </w:p>
    <w:p w:rsidR="00E27E79" w:rsidRDefault="00C449A6">
      <w:pPr>
        <w:numPr>
          <w:ilvl w:val="0"/>
          <w:numId w:val="4"/>
        </w:numPr>
        <w:spacing w:after="75"/>
      </w:pPr>
      <w:r>
        <w:t xml:space="preserve">Υ.Α.16974/758/2018 </w:t>
      </w:r>
      <w:r>
        <w:t>Τροποποίηση της υπουργική</w:t>
      </w:r>
      <w:r>
        <w:t>ς απόφασης 50067/28/27.11.2017 «Ηλεκτρονική Βάση καταχώρισης δεδομένων Τεχνικών Ασφάλειας και διαδικασία ανάθεσης καθηκόντων Τεχνικού Ασφαλείας μέσω ΟΠΣ-ΣΕΠΕ»</w:t>
      </w:r>
      <w:r>
        <w:t>, ΦΕΚ 1242/Β`/4.4.2018</w:t>
      </w:r>
    </w:p>
    <w:p w:rsidR="00E27E79" w:rsidRDefault="00C449A6">
      <w:pPr>
        <w:numPr>
          <w:ilvl w:val="0"/>
          <w:numId w:val="4"/>
        </w:numPr>
        <w:spacing w:after="75"/>
      </w:pPr>
      <w:r>
        <w:t>Π.Δ.82/2018</w:t>
      </w:r>
      <w:r>
        <w:rPr>
          <w:lang w:val="en-US"/>
        </w:rPr>
        <w:t> </w:t>
      </w:r>
      <w:r>
        <w:t xml:space="preserve"> Τροποποίηση του π.δ. 307/1986 «Προστασία της υγείας των εργαζο</w:t>
      </w:r>
      <w:r>
        <w:t>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w:t>
      </w:r>
      <w:r>
        <w:t>, ΦΕΚ 152/Α`/21.8.2018</w:t>
      </w:r>
    </w:p>
    <w:p w:rsidR="00E27E79" w:rsidRDefault="00C449A6">
      <w:pPr>
        <w:numPr>
          <w:ilvl w:val="0"/>
          <w:numId w:val="4"/>
        </w:numPr>
        <w:spacing w:after="75"/>
      </w:pPr>
      <w:r>
        <w:t>Αρ. Πρωτ. 33405/Δ9 1493/2</w:t>
      </w:r>
      <w:r>
        <w:t>018</w:t>
      </w:r>
      <w:r>
        <w:t xml:space="preserve">, </w:t>
      </w:r>
      <w:r>
        <w:t>ΦΕΚ --/15/6.2018 Ιατροί Εργασίας</w:t>
      </w:r>
    </w:p>
    <w:p w:rsidR="00E27E79" w:rsidRDefault="00C449A6">
      <w:pPr>
        <w:pStyle w:val="a5"/>
        <w:numPr>
          <w:ilvl w:val="0"/>
          <w:numId w:val="4"/>
        </w:numPr>
        <w:spacing w:after="0" w:line="275" w:lineRule="auto"/>
        <w:contextualSpacing w:val="0"/>
        <w:rPr>
          <w:shd w:val="clear" w:color="auto" w:fill="FFFFFF"/>
        </w:rPr>
      </w:pPr>
      <w:r>
        <w:t>ΠΔ134/2017 «</w:t>
      </w:r>
      <w:r>
        <w:rPr>
          <w:shd w:val="clear" w:color="auto" w:fill="FFFFFF"/>
        </w:rPr>
        <w:t>Οργανισμός Υπουργείου Εργασίας, Κοινωνικής Ασφάλισης και Κοινωνικής Αλληλεγγύης, ΦΕΚ Α' 168/6-11-2017»</w:t>
      </w:r>
    </w:p>
    <w:p w:rsidR="00E27E79" w:rsidRDefault="00C449A6">
      <w:pPr>
        <w:numPr>
          <w:ilvl w:val="0"/>
          <w:numId w:val="4"/>
        </w:numPr>
        <w:spacing w:after="75"/>
        <w:rPr>
          <w:color w:val="333333"/>
        </w:rPr>
      </w:pPr>
      <w:hyperlink r:id="rId12" w:history="1">
        <w:r>
          <w:t>Υ.Α.50067/28/2017</w:t>
        </w:r>
      </w:hyperlink>
      <w:r>
        <w:rPr>
          <w:color w:val="333333"/>
        </w:rPr>
        <w:t xml:space="preserve"> Ηλεκ</w:t>
      </w:r>
      <w:r>
        <w:rPr>
          <w:color w:val="333333"/>
        </w:rPr>
        <w:t>τρονική βάση καταχώρισης δεδομένων Τεχνικών Ασφάλειας και διαδικασία ανάθεσης καθηκόντων Τεχνικού Ασφαλείας μέσω ΟΠΣ-ΣΕΠΕ, ΦΕΚ 3952/Β`/10.11.2017</w:t>
      </w:r>
    </w:p>
    <w:p w:rsidR="00E27E79" w:rsidRDefault="00C449A6">
      <w:pPr>
        <w:numPr>
          <w:ilvl w:val="0"/>
          <w:numId w:val="4"/>
        </w:numPr>
        <w:spacing w:after="75"/>
        <w:rPr>
          <w:color w:val="333333"/>
        </w:rPr>
      </w:pPr>
      <w:r>
        <w:rPr>
          <w:color w:val="333333"/>
        </w:rPr>
        <w:t>Υ.Α. ΔΝΣγ/οικ. 38108/ΦΝ 466/2017 - Περιεχόμενο του Μητρώου Έργου, ΦΕΚ 1956/Β΄/7.6.2017</w:t>
      </w:r>
    </w:p>
    <w:p w:rsidR="00E27E79" w:rsidRDefault="00C449A6">
      <w:pPr>
        <w:numPr>
          <w:ilvl w:val="0"/>
          <w:numId w:val="4"/>
        </w:numPr>
        <w:spacing w:after="75"/>
      </w:pPr>
      <w:hyperlink r:id="rId13" w:history="1">
        <w:r>
          <w:t>Υ.Α.1865/2017</w:t>
        </w:r>
      </w:hyperlink>
      <w:r>
        <w:rPr>
          <w:lang w:val="en-US"/>
        </w:rPr>
        <w:t> </w:t>
      </w:r>
      <w:r>
        <w:t xml:space="preserve">Τροποποίηση της υπ’ αριθμ. 4229/395/2013 (Β’ 318) κοινής υπουργικής απόφασης με θέμα: «Προϋποθέσεις ίδρυσης και λειτουργίας των επιχειρήσεων που δραστηριοποιούνται με την εκτέλεση </w:t>
      </w:r>
      <w:r>
        <w:t>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w:t>
      </w:r>
      <w:r>
        <w:t>ο»</w:t>
      </w:r>
      <w:r>
        <w:t>, ΦΕΚ 1865/Β`/26.5.2017</w:t>
      </w:r>
    </w:p>
    <w:p w:rsidR="00E27E79" w:rsidRDefault="00C449A6">
      <w:pPr>
        <w:numPr>
          <w:ilvl w:val="0"/>
          <w:numId w:val="4"/>
        </w:numPr>
        <w:spacing w:after="75"/>
      </w:pPr>
      <w:hyperlink r:id="rId14" w:history="1">
        <w:r>
          <w:rPr>
            <w:rStyle w:val="a9"/>
            <w:rFonts w:ascii="Calibri" w:hAnsi="Calibri"/>
            <w:sz w:val="22"/>
          </w:rPr>
          <w:t>Υ.Α.</w:t>
        </w:r>
        <w:r>
          <w:rPr>
            <w:rStyle w:val="a9"/>
            <w:rFonts w:ascii="Calibri" w:hAnsi="Calibri"/>
            <w:sz w:val="22"/>
          </w:rPr>
          <w:t>Ο</w:t>
        </w:r>
        <w:r>
          <w:rPr>
            <w:rStyle w:val="a9"/>
            <w:rFonts w:ascii="Calibri" w:hAnsi="Calibri"/>
            <w:sz w:val="22"/>
          </w:rPr>
          <w:t>ικ.52780/ΔΤΒΝ/894/Τμ. Δ/Φ.14.1/2017</w:t>
        </w:r>
      </w:hyperlink>
      <w:r>
        <w:t xml:space="preserve"> </w:t>
      </w:r>
      <w:r>
        <w:t xml:space="preserve">Τροποποίηση της κοινής υπουργικής απόφασης υπ’ αριθμ. 3329/15.2.1989 (ΦΕΚ 132/Β΄/21.2.1989) «Κανονισμοί για </w:t>
      </w:r>
      <w:r>
        <w:t>την παραγωγή, αποθήκευση και διάθεση σε κατανάλωση εκρηκτικών υλών»</w:t>
      </w:r>
      <w:r>
        <w:t>, ΦΕΚ 1628/Β`/16.5.2017</w:t>
      </w:r>
    </w:p>
    <w:p w:rsidR="00E27E79" w:rsidRDefault="00C449A6">
      <w:pPr>
        <w:numPr>
          <w:ilvl w:val="0"/>
          <w:numId w:val="4"/>
        </w:numPr>
        <w:spacing w:after="75"/>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w:t>
      </w:r>
      <w:r>
        <w:t>, ΦΕΚ 3276/Β΄/12.10.2016</w:t>
      </w:r>
    </w:p>
    <w:p w:rsidR="00E27E79" w:rsidRDefault="00C449A6">
      <w:pPr>
        <w:numPr>
          <w:ilvl w:val="0"/>
          <w:numId w:val="4"/>
        </w:numPr>
        <w:spacing w:after="75"/>
      </w:pPr>
      <w:r>
        <w:t>Υ.Α.</w:t>
      </w:r>
      <w:r>
        <w:t>Ο</w:t>
      </w:r>
      <w:r>
        <w:t>ικ.84123/305/Φ113/2016</w:t>
      </w:r>
      <w:r>
        <w:t xml:space="preserve"> </w:t>
      </w:r>
      <w:r>
        <w:t>Τροποποίηση - συμπλήρωση της υπ’ αριθ. Οικ.1032/166/Φ.Γ.9.6.4 (Η)’ (Β’ 519 6-3-2013) απόφασης του Υφυπουργού Ανάπτυξης, Ανταγωνιστικ</w:t>
      </w:r>
      <w:r>
        <w:t>ότητας, Υποδομών, Μεταφορών και Δικτύων «Κατάταξη των μηχανημάτων έργου</w:t>
      </w:r>
      <w:r>
        <w:t xml:space="preserve"> σε ειδικότητες και ομάδες, ως προς τη δραστηριότητα του χειρισμού σύμφωνα με το Π.δ. 113/2012 (Α’/198) και αντιστοίχιση των υφισταμένων αδειών που έχουν εκδοθεί </w:t>
      </w:r>
      <w:r>
        <w:lastRenderedPageBreak/>
        <w:t xml:space="preserve">σύμφωνα με το Π.δ. 22/1976 (Α’/6) ή το Π.δ. 31/1990 (Α’/11) με τις άδειες που εκδίδονται κατ’ </w:t>
      </w:r>
      <w:r>
        <w:t>εφαρμογή του Προεδρικού αυτού διατάγματος» όπως τροποποιήθηκε και ισχύει</w:t>
      </w:r>
      <w:r>
        <w:t>, ΦΕΚ 2481/Β`/11.8.2016</w:t>
      </w:r>
    </w:p>
    <w:p w:rsidR="00E27E79" w:rsidRDefault="00C449A6">
      <w:pPr>
        <w:numPr>
          <w:ilvl w:val="0"/>
          <w:numId w:val="4"/>
        </w:numPr>
        <w:spacing w:after="75"/>
      </w:pPr>
      <w:r>
        <w:t>Υ.Α.Οικ.34331/Δ9.8920/2016 «</w:t>
      </w:r>
      <w:r>
        <w:t>Απλούστευση διαδικασιών Σώματος Επιθεώρησης Εργασίας (Σ.ΕΠ.Ε.) μέσω του Ολοκληρωμένου Πληροφοριακού Συστήματος του Σ.ΕΠ.Ε (ΟΠΣ-ΣΕΠΕ)</w:t>
      </w:r>
      <w:r>
        <w:t>», ΦΕΚ 2458/Β`/10.8.2016</w:t>
      </w:r>
    </w:p>
    <w:p w:rsidR="00E27E79" w:rsidRDefault="00C449A6">
      <w:pPr>
        <w:numPr>
          <w:ilvl w:val="0"/>
          <w:numId w:val="4"/>
        </w:numPr>
        <w:spacing w:line="275" w:lineRule="auto"/>
      </w:pPr>
      <w:hyperlink r:id="rId15" w:history="1">
        <w:r>
          <w:t>Υ.Α.Οικ.52019/ΔΤΒΝ 1152/2016</w:t>
        </w:r>
      </w:hyperlink>
      <w:r>
        <w:t xml:space="preserve"> Προσαρμογή της ελληνικής νομοθεσίας προς τις διατάξεις της Οδηγίας 2014/34/ΕΕ του Ευρωπαϊκού Κοινοβουλίου και του Συμβο</w:t>
      </w:r>
      <w:r>
        <w:t>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w:t>
      </w:r>
      <w:r>
        <w:t>, ΦΕΚ 1426/Β`/20.5.2016</w:t>
      </w:r>
    </w:p>
    <w:p w:rsidR="00E27E79" w:rsidRDefault="00E27E79">
      <w:pPr>
        <w:pStyle w:val="a5"/>
        <w:numPr>
          <w:ilvl w:val="0"/>
          <w:numId w:val="4"/>
        </w:numPr>
        <w:jc w:val="left"/>
      </w:pPr>
    </w:p>
    <w:p w:rsidR="00E27E79" w:rsidRDefault="00C449A6">
      <w:pPr>
        <w:pStyle w:val="a5"/>
        <w:numPr>
          <w:ilvl w:val="0"/>
          <w:numId w:val="4"/>
        </w:numPr>
        <w:jc w:val="left"/>
      </w:pPr>
      <w:r>
        <w:t>Ν4412/2016 "Δημόσιες Συμβάσεις</w:t>
      </w:r>
      <w:r>
        <w:t xml:space="preserve"> Έργων, Προμηθειών και Υπηρεσιών (προσαρμογή στις οδηγίες 2014/24/ΕΕ και 2014/25/ΕΕ"</w:t>
      </w:r>
    </w:p>
    <w:p w:rsidR="00E27E79" w:rsidRDefault="00C449A6">
      <w:pPr>
        <w:pStyle w:val="a5"/>
        <w:numPr>
          <w:ilvl w:val="0"/>
          <w:numId w:val="4"/>
        </w:numPr>
        <w:jc w:val="left"/>
      </w:pPr>
      <w:r>
        <w:t xml:space="preserve">Εγκ. οικ. 24120/1336/2014 - Ανακοίνωση δημοσίευσης της υ.α. με αριθ. 14867/825/2014 (1241/Β) «Απλοποίηση διαδικασιών τήρησης αρχείων για θέματα Ασφάλειας και Υγείας στην </w:t>
      </w:r>
      <w:r>
        <w:t>εργασία στα τεχνικά έργα»</w:t>
      </w:r>
    </w:p>
    <w:p w:rsidR="00E27E79" w:rsidRDefault="00C449A6">
      <w:pPr>
        <w:pStyle w:val="a5"/>
        <w:numPr>
          <w:ilvl w:val="0"/>
          <w:numId w:val="4"/>
        </w:numPr>
        <w:jc w:val="left"/>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w:t>
      </w:r>
      <w:r>
        <w:t>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w:t>
      </w:r>
      <w:r>
        <w:t>ν από φυσικά πρόσωπα και άλλες ρυθμίσεις», ΦΕΚ 200Α/12</w:t>
      </w:r>
    </w:p>
    <w:p w:rsidR="00E27E79" w:rsidRDefault="00C449A6">
      <w:pPr>
        <w:pStyle w:val="a5"/>
        <w:numPr>
          <w:ilvl w:val="0"/>
          <w:numId w:val="4"/>
        </w:numPr>
        <w:jc w:val="left"/>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w:t>
      </w:r>
      <w:r>
        <w:t>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E27E79" w:rsidRDefault="00C449A6">
      <w:pPr>
        <w:pStyle w:val="a5"/>
        <w:numPr>
          <w:ilvl w:val="0"/>
          <w:numId w:val="4"/>
        </w:numPr>
        <w:jc w:val="left"/>
      </w:pPr>
      <w:r>
        <w:t>ΠΔ113/2012 «Καθορισμός ειδικοτήτων για την επαγγελμ</w:t>
      </w:r>
      <w:r>
        <w:t>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w:t>
      </w:r>
      <w:r>
        <w:t>υσικά πρόσωπα και άλλες ρυθμίσεις», ΦΕΚ 198Α/12</w:t>
      </w:r>
    </w:p>
    <w:p w:rsidR="00E27E79" w:rsidRDefault="00C449A6">
      <w:pPr>
        <w:pStyle w:val="a5"/>
        <w:numPr>
          <w:ilvl w:val="0"/>
          <w:numId w:val="4"/>
        </w:numPr>
        <w:jc w:val="left"/>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w:t>
      </w:r>
      <w:r>
        <w:t>ης δραστηριότητας αυτής από φυσικά πρόσωπα», ΦΕΚ 197Α/12</w:t>
      </w:r>
    </w:p>
    <w:p w:rsidR="00E27E79" w:rsidRDefault="00C449A6">
      <w:pPr>
        <w:pStyle w:val="a5"/>
        <w:numPr>
          <w:ilvl w:val="0"/>
          <w:numId w:val="4"/>
        </w:numPr>
        <w:jc w:val="left"/>
      </w:pPr>
      <w:r>
        <w:t>Εγκ. 27/2012 - (Αρ. πρωτ.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E27E79" w:rsidRDefault="00C449A6">
      <w:pPr>
        <w:pStyle w:val="a5"/>
        <w:numPr>
          <w:ilvl w:val="0"/>
          <w:numId w:val="4"/>
        </w:numPr>
        <w:jc w:val="left"/>
      </w:pPr>
      <w:r>
        <w:t>ΕΚΓ27/ΔΙΠ</w:t>
      </w:r>
      <w:r>
        <w:t>ΑΔ/οικ/369 «Ένταξη στα συμβατικά τεύχη (ΕΣΥ) των δημοπρατούμενων έργων, άρθρου σχετικού με τα απαιτούμενα μέτρα ασφάλειας και υγείας στα εργοτάξια» 15/10/2012</w:t>
      </w:r>
    </w:p>
    <w:p w:rsidR="00E27E79" w:rsidRDefault="00C449A6">
      <w:pPr>
        <w:pStyle w:val="a5"/>
        <w:numPr>
          <w:ilvl w:val="0"/>
          <w:numId w:val="4"/>
        </w:numPr>
        <w:jc w:val="left"/>
      </w:pPr>
      <w:r>
        <w:t>ΕΓΚ10201/ΣΕΠΕ «Θεώρηση Σχεδίου και Φακέλου Ασφάλειας και Υγείας», 27/03/2012</w:t>
      </w:r>
    </w:p>
    <w:p w:rsidR="00E27E79" w:rsidRDefault="00C449A6">
      <w:pPr>
        <w:pStyle w:val="a5"/>
        <w:numPr>
          <w:ilvl w:val="0"/>
          <w:numId w:val="4"/>
        </w:numPr>
        <w:jc w:val="left"/>
      </w:pPr>
      <w:r>
        <w:lastRenderedPageBreak/>
        <w:t>ΥΑ6690/2012 «Προϊόντ</w:t>
      </w:r>
      <w:r>
        <w:t>α Δομικών Κατασκευών: χαρακτηριστικά, τεχνικές προδιαγραφές, διαδικασίες αξιολόγησης συμμόρφωσης και σήμανση συμμόρφωσης «CE», ΦΕΚ 1914Β/12</w:t>
      </w:r>
    </w:p>
    <w:p w:rsidR="00E27E79" w:rsidRDefault="00C449A6">
      <w:pPr>
        <w:pStyle w:val="a5"/>
        <w:numPr>
          <w:ilvl w:val="0"/>
          <w:numId w:val="4"/>
        </w:numPr>
        <w:jc w:val="left"/>
      </w:pPr>
      <w:r>
        <w:t>Ν4030/2011, «Νέος τρόπος έκδοσης αδειών δόμησης, ελέγχου κατασκευών και λοιπές διατάξεις», ΦΕΚ 249Α/11</w:t>
      </w:r>
    </w:p>
    <w:p w:rsidR="00E27E79" w:rsidRDefault="00C449A6">
      <w:pPr>
        <w:pStyle w:val="a5"/>
        <w:numPr>
          <w:ilvl w:val="0"/>
          <w:numId w:val="4"/>
        </w:numPr>
        <w:jc w:val="left"/>
      </w:pPr>
      <w:r>
        <w:t>ΥΑ2223/2011 «</w:t>
      </w:r>
      <w:r>
        <w:t>Κανονισμός Μεταλλευτικών και Λατομικών Εργασιών (ΚΜΛΕ)», ΦΕΚ 1227Β/11</w:t>
      </w:r>
    </w:p>
    <w:p w:rsidR="00E27E79" w:rsidRDefault="00C449A6">
      <w:pPr>
        <w:pStyle w:val="a5"/>
        <w:numPr>
          <w:ilvl w:val="0"/>
          <w:numId w:val="4"/>
        </w:numPr>
        <w:jc w:val="left"/>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w:t>
      </w:r>
      <w:r>
        <w:t>Κ 420Β/11</w:t>
      </w:r>
    </w:p>
    <w:p w:rsidR="00E27E79" w:rsidRDefault="00E27E79">
      <w:pPr>
        <w:pStyle w:val="a5"/>
        <w:ind w:left="360"/>
        <w:jc w:val="left"/>
      </w:pPr>
    </w:p>
    <w:p w:rsidR="00E27E79" w:rsidRDefault="00C449A6">
      <w:pPr>
        <w:spacing w:after="60"/>
        <w:rPr>
          <w:rFonts w:ascii="Arial" w:hAnsi="Arial"/>
          <w:b/>
        </w:rPr>
      </w:pPr>
      <w:r>
        <w:rPr>
          <w:rFonts w:ascii="Arial" w:hAnsi="Arial"/>
          <w:b/>
        </w:rPr>
        <w:t>2006 - 2010</w:t>
      </w:r>
    </w:p>
    <w:p w:rsidR="00E27E79" w:rsidRDefault="00C449A6">
      <w:pPr>
        <w:pStyle w:val="a5"/>
        <w:numPr>
          <w:ilvl w:val="0"/>
          <w:numId w:val="4"/>
        </w:numPr>
        <w:jc w:val="left"/>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w:t>
      </w:r>
      <w:r>
        <w:t xml:space="preserve"> εργαζομένων σε συμμόρφωση με τις οδηγίες 89/391/ΕΟΚ και 91/383/ΕΟΚ», ΦΕΚ 11Α/96, όπως τροποποιήθηκε με το ΠΔ159/1999 (ΦΕΚ 157Α/99)</w:t>
      </w:r>
    </w:p>
    <w:p w:rsidR="00E27E79" w:rsidRDefault="00C449A6">
      <w:pPr>
        <w:pStyle w:val="a5"/>
        <w:numPr>
          <w:ilvl w:val="0"/>
          <w:numId w:val="4"/>
        </w:numPr>
        <w:jc w:val="left"/>
      </w:pPr>
      <w:r>
        <w:t>ΠΔ82/2010 «Ελάχιστες προδιαγραφές υγείας και ασφάλειας όσον αφορά στην έκθεση των εργαζομένων σε κινδύνους προερχόμενους από</w:t>
      </w:r>
      <w:r>
        <w:t xml:space="preserve"> φυσικούς παράγοντες (τεχνητή οπτική ακτινοβολία), σε συμμόρφωση με την οδηγία 2006/25/ΕΚ», ΦΕΚ 145Α/10</w:t>
      </w:r>
    </w:p>
    <w:p w:rsidR="00E27E79" w:rsidRDefault="00C449A6">
      <w:pPr>
        <w:pStyle w:val="a5"/>
        <w:numPr>
          <w:ilvl w:val="0"/>
          <w:numId w:val="4"/>
        </w:numPr>
        <w:jc w:val="left"/>
      </w:pPr>
      <w:r>
        <w:t>ΠΔ57/2010 «Προσαρμογή της Ελληνικής Νομοθεσίας προς την Οδηγία 2006/42/ΕΚ του Ευρωπαϊκού Κοινοβουλίου και του Συμβουλίου «σχετικά με τα μηχανήματα και τ</w:t>
      </w:r>
      <w:r>
        <w:t>ην τροποποίηση της οδηγίας 95/16/ΕΚ» και κατάργηση των Π.Δ. 18/96 και 377/93», ΦΕΚ 97Α, όπως τροποποιήθηκε με το ΠΔ81/2011, ΦΕΚ 197Α/10</w:t>
      </w:r>
    </w:p>
    <w:p w:rsidR="00E27E79" w:rsidRDefault="00C449A6">
      <w:pPr>
        <w:pStyle w:val="a5"/>
        <w:numPr>
          <w:ilvl w:val="0"/>
          <w:numId w:val="4"/>
        </w:numPr>
        <w:jc w:val="left"/>
      </w:pPr>
      <w:r>
        <w:t>ΥΑ21017/2009 «Όροι και προϋποθέσεις λειτουργίας των επιχειρήσεων που ασχολούνται με τις εργασίες κατεδάφισης και αφαίρεσ</w:t>
      </w:r>
      <w:r>
        <w:t>ης αμιάντου ή/και υλικών που περιέχουν αμίαντο από κτίρια, κατασκευές, συσκευές, εγκαταστάσεις και πλοία, καθώς επίσης και με τις εργασίες συντήρησης, επικάλυψης και εγκλεισμού αμιάντου ή/και υλικών που περιέχουν αμίαντο», ΦΕΚ 1287Β/09</w:t>
      </w:r>
    </w:p>
    <w:p w:rsidR="00E27E79" w:rsidRDefault="00C449A6">
      <w:pPr>
        <w:pStyle w:val="a5"/>
        <w:numPr>
          <w:ilvl w:val="0"/>
          <w:numId w:val="4"/>
        </w:numPr>
        <w:jc w:val="left"/>
      </w:pPr>
      <w:r>
        <w:t>Εγκ. 6/2008  «Διευκρ</w:t>
      </w:r>
      <w:r>
        <w:t>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E27E79" w:rsidRDefault="00C449A6">
      <w:pPr>
        <w:pStyle w:val="a5"/>
        <w:numPr>
          <w:ilvl w:val="0"/>
          <w:numId w:val="4"/>
        </w:numPr>
        <w:jc w:val="left"/>
      </w:pPr>
      <w:r>
        <w:t>ΕΓΚ6/ΔΙΠΑΔ/οικ/215 «Διευκρινήσεις σχετικά με την εκπόνηση ΣΑΥ και ΦΑΥ των Δημοσίων Έργων» 31/03/2008</w:t>
      </w:r>
    </w:p>
    <w:p w:rsidR="00E27E79" w:rsidRDefault="00C449A6">
      <w:pPr>
        <w:pStyle w:val="a5"/>
        <w:numPr>
          <w:ilvl w:val="0"/>
          <w:numId w:val="4"/>
        </w:numPr>
        <w:jc w:val="left"/>
      </w:pPr>
      <w:r>
        <w:t>ΠΔ162/2007 «Προστασία της υγείας των εργαζομένων που εκτίθενται σε ορισμένους χημικούς παράγοντες κατά την διάρκεια της εργασίας τους, κατά τροποποίηση του π.δ. 307/1986 όπως ισχύει, σε συμμόρφωση προς την Οδηγία 2006/15/ΕΚ», ΦΕΚ 202Α/07</w:t>
      </w:r>
    </w:p>
    <w:p w:rsidR="00E27E79" w:rsidRDefault="00C449A6">
      <w:pPr>
        <w:pStyle w:val="a5"/>
        <w:numPr>
          <w:ilvl w:val="0"/>
          <w:numId w:val="4"/>
        </w:numPr>
        <w:jc w:val="left"/>
      </w:pPr>
      <w:r>
        <w:t>ΠΔ212/2006 «Προστ</w:t>
      </w:r>
      <w:r>
        <w:t>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w:t>
      </w:r>
      <w:r>
        <w:t>ΕΚ 212Α/06</w:t>
      </w:r>
    </w:p>
    <w:p w:rsidR="00E27E79" w:rsidRDefault="00C449A6">
      <w:pPr>
        <w:pStyle w:val="a5"/>
        <w:numPr>
          <w:ilvl w:val="0"/>
          <w:numId w:val="4"/>
        </w:numPr>
        <w:jc w:val="left"/>
      </w:pPr>
      <w:r>
        <w:t>ΠΔ149/2006 «Eλάχιστες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E27E79" w:rsidRDefault="00E27E79">
      <w:pPr>
        <w:pStyle w:val="a5"/>
        <w:numPr>
          <w:ilvl w:val="0"/>
          <w:numId w:val="4"/>
        </w:numPr>
        <w:jc w:val="left"/>
      </w:pPr>
    </w:p>
    <w:p w:rsidR="00E27E79" w:rsidRDefault="00C449A6">
      <w:pPr>
        <w:spacing w:after="60"/>
        <w:rPr>
          <w:rFonts w:ascii="Arial" w:hAnsi="Arial"/>
          <w:b/>
        </w:rPr>
      </w:pPr>
      <w:r>
        <w:rPr>
          <w:rFonts w:ascii="Arial" w:hAnsi="Arial"/>
          <w:b/>
        </w:rPr>
        <w:t>2000 - 2005</w:t>
      </w:r>
    </w:p>
    <w:p w:rsidR="00E27E79" w:rsidRDefault="00C449A6">
      <w:pPr>
        <w:pStyle w:val="a5"/>
        <w:numPr>
          <w:ilvl w:val="0"/>
          <w:numId w:val="4"/>
        </w:numPr>
        <w:jc w:val="left"/>
      </w:pPr>
      <w:r>
        <w:lastRenderedPageBreak/>
        <w:t>ΠΔ 176/2005 «Ελάχιστες π</w:t>
      </w:r>
      <w:r>
        <w:t>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E27E79" w:rsidRDefault="00C449A6">
      <w:pPr>
        <w:pStyle w:val="a5"/>
        <w:numPr>
          <w:ilvl w:val="0"/>
          <w:numId w:val="4"/>
        </w:numPr>
        <w:jc w:val="left"/>
      </w:pPr>
      <w:r>
        <w:t xml:space="preserve">ΚΥΑ 15085/ 15085/593/2003 «Κανονισμός Ελέγχων Ανυψωτικών Μηχανημάτων» </w:t>
      </w:r>
      <w:r>
        <w:t>ΦΕΚ 1186/Β'/25-8-2003</w:t>
      </w:r>
    </w:p>
    <w:p w:rsidR="00E27E79" w:rsidRDefault="00C449A6">
      <w:pPr>
        <w:pStyle w:val="a5"/>
        <w:numPr>
          <w:ilvl w:val="0"/>
          <w:numId w:val="4"/>
        </w:numPr>
        <w:jc w:val="left"/>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E27E79" w:rsidRDefault="00C449A6">
      <w:pPr>
        <w:pStyle w:val="a5"/>
        <w:numPr>
          <w:ilvl w:val="0"/>
          <w:numId w:val="4"/>
        </w:numPr>
        <w:jc w:val="left"/>
      </w:pPr>
      <w:r>
        <w:t xml:space="preserve">ΑΠ. ΔΙΠΑΔ/οικ 889/2002 «Πρόληψη και αντιμετώπιση του εργασιακού κινδύνου κατά την </w:t>
      </w:r>
      <w:r>
        <w:t>κατασκευή Δημοσίων Έργων», ΦΕΚ 16Β/03</w:t>
      </w:r>
    </w:p>
    <w:p w:rsidR="00E27E79" w:rsidRDefault="00C449A6">
      <w:pPr>
        <w:pStyle w:val="a5"/>
        <w:numPr>
          <w:ilvl w:val="0"/>
          <w:numId w:val="4"/>
        </w:numPr>
        <w:jc w:val="left"/>
      </w:pPr>
      <w:r>
        <w:t>ΑΠ. ΔΙΠΑΔ/οικ 177/2001 «Πρόληψη εργασιακού κινδύνου κατά τη μελέτη του έργου», ΦΕΚ 266Β/01</w:t>
      </w:r>
    </w:p>
    <w:p w:rsidR="00E27E79" w:rsidRDefault="00C449A6">
      <w:pPr>
        <w:pStyle w:val="a5"/>
        <w:numPr>
          <w:ilvl w:val="0"/>
          <w:numId w:val="4"/>
        </w:numPr>
        <w:jc w:val="left"/>
      </w:pPr>
      <w:r>
        <w:t>ΑΠ.ΔΕΕΠΠ/οικ 85/2001 «Καθιέρωση του Σχεδίου Ασφάλειας και Υγείας (ΣΑΥ) και του Φακέλου Ασφάλειας και Υγείας (ΦΑΥ) ως απαραίτητω</w:t>
      </w:r>
      <w:r>
        <w:t>ν στοιχείων για την έγκριση μελέτης στο στάδιο της οριστικής μελέτης ή/και της μελέτης εφαρμογής σε κάθε Δημόσιο Έργο», ΦΕΚ 686Β/01</w:t>
      </w:r>
    </w:p>
    <w:p w:rsidR="00E27E79" w:rsidRDefault="00C449A6">
      <w:pPr>
        <w:pStyle w:val="a5"/>
        <w:numPr>
          <w:ilvl w:val="0"/>
          <w:numId w:val="4"/>
        </w:numPr>
        <w:jc w:val="left"/>
      </w:pPr>
      <w:r>
        <w:t>ΑΠ. οικ 433/2000 «Καθιέρωση του Φακέλου Ασφάλειας και Υγείας (ΦΑΥ) ως απαραίτητου στοιχείου για τη προσωρινή και οριστική πα</w:t>
      </w:r>
      <w:r>
        <w:t>ραλαβή κάθε Δημόσιου Έργου», ΦΕΚ 1176Β/00</w:t>
      </w:r>
    </w:p>
    <w:p w:rsidR="00E27E79" w:rsidRDefault="00E27E79">
      <w:pPr>
        <w:pStyle w:val="a5"/>
        <w:numPr>
          <w:ilvl w:val="0"/>
          <w:numId w:val="4"/>
        </w:numPr>
        <w:jc w:val="left"/>
      </w:pPr>
    </w:p>
    <w:p w:rsidR="00E27E79" w:rsidRDefault="00C449A6">
      <w:pPr>
        <w:pStyle w:val="a5"/>
        <w:numPr>
          <w:ilvl w:val="0"/>
          <w:numId w:val="4"/>
        </w:numPr>
        <w:jc w:val="left"/>
      </w:pPr>
      <w:r>
        <w:t>Προ του 2000</w:t>
      </w:r>
    </w:p>
    <w:p w:rsidR="00E27E79" w:rsidRDefault="00C449A6">
      <w:pPr>
        <w:pStyle w:val="a5"/>
        <w:numPr>
          <w:ilvl w:val="0"/>
          <w:numId w:val="4"/>
        </w:numPr>
        <w:jc w:val="left"/>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E27E79" w:rsidRDefault="00C449A6">
      <w:pPr>
        <w:pStyle w:val="a5"/>
        <w:numPr>
          <w:ilvl w:val="0"/>
          <w:numId w:val="4"/>
        </w:numPr>
        <w:jc w:val="left"/>
      </w:pPr>
      <w:r>
        <w:t>ΠΔ 90/1999 «Καθορισμός οριακών τιμών έ</w:t>
      </w:r>
      <w:r>
        <w:t>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π.δ. 307/86 “Προστασία της</w:t>
      </w:r>
      <w:r>
        <w:t xml:space="preserve"> υγείας των εργαζομένων που εκτίθενται σε ορισμένους χημικούς παράγοντες κατά την διάρκεια της εργασίας τους” (135/Α) όπως τροποποιήθηκε με το π.δ. 77/93 (34/Α)» ΦEK 94/A/13-5-99</w:t>
      </w:r>
    </w:p>
    <w:p w:rsidR="00E27E79" w:rsidRDefault="00C449A6">
      <w:pPr>
        <w:pStyle w:val="a5"/>
        <w:numPr>
          <w:ilvl w:val="0"/>
          <w:numId w:val="4"/>
        </w:numPr>
        <w:jc w:val="left"/>
      </w:pPr>
      <w:r>
        <w:t>ΠΔ 17/1996  «Mέτρα για την βελτίωση της ασφάλειας και της υγείας των εργαζοµέ</w:t>
      </w:r>
      <w:r>
        <w:t>νων κατά την εργασία σε συµµόρφωση µε τις οδηγίες 89/391/EOK και 91/383/EOK», ΦEK 11/A/18-1-96)</w:t>
      </w:r>
    </w:p>
    <w:p w:rsidR="00E27E79" w:rsidRDefault="00C449A6">
      <w:pPr>
        <w:pStyle w:val="a5"/>
        <w:numPr>
          <w:ilvl w:val="0"/>
          <w:numId w:val="4"/>
        </w:numPr>
        <w:jc w:val="left"/>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w:t>
      </w:r>
      <w:r>
        <w:t>Κ 212Α/96</w:t>
      </w:r>
    </w:p>
    <w:p w:rsidR="00E27E79" w:rsidRDefault="00C449A6">
      <w:pPr>
        <w:pStyle w:val="a5"/>
        <w:numPr>
          <w:ilvl w:val="0"/>
          <w:numId w:val="4"/>
        </w:numPr>
        <w:jc w:val="left"/>
      </w:pPr>
      <w:r>
        <w:t>ΠΔ105/1995 «Ελάχιστες προδιαγραφές για τη σήμανση ασφάλειας ή/και υγείας στην εργασία σε συμμόρφωση με την οδηγία 92/58/ΕΟΚ», ΦΕΚ 67Α/95</w:t>
      </w:r>
    </w:p>
    <w:p w:rsidR="00E27E79" w:rsidRDefault="00C449A6">
      <w:pPr>
        <w:pStyle w:val="a5"/>
        <w:numPr>
          <w:ilvl w:val="0"/>
          <w:numId w:val="4"/>
        </w:numPr>
        <w:jc w:val="left"/>
      </w:pPr>
      <w:r>
        <w:t>Ν2224/1994 «Ρύθμιση θεμάτων εργασίας, συνδικαλιστικών δικαιωμάτων, Υγιεινής – Ασφάλειας κλπ», ΦΕΚ 112Α/94, όπ</w:t>
      </w:r>
      <w:r>
        <w:t>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E27E79" w:rsidRDefault="00C449A6">
      <w:pPr>
        <w:pStyle w:val="a5"/>
        <w:numPr>
          <w:ilvl w:val="0"/>
          <w:numId w:val="4"/>
        </w:numPr>
        <w:jc w:val="left"/>
      </w:pPr>
      <w:r>
        <w:t>ΠΔ397/1994 «Ελάχιστες προδιαγραφές ασφάλειας και υγείας κατά</w:t>
      </w:r>
      <w:r>
        <w:t xml:space="preserve">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E27E79" w:rsidRDefault="00C449A6">
      <w:pPr>
        <w:pStyle w:val="a5"/>
        <w:numPr>
          <w:ilvl w:val="0"/>
          <w:numId w:val="4"/>
        </w:numPr>
        <w:jc w:val="left"/>
      </w:pPr>
      <w:r>
        <w:t>ΠΔ396/1994 «Ελάχιστες προδιαγραφές ασφάλειας και υγείας για τη χρήση από</w:t>
      </w:r>
      <w:r>
        <w:t xml:space="preserve"> τους εργαζόμενους εξοπλισμών ατομικής προστασίας κατά την εργασία σε συμμόρφωση προς την οδηγία του Συμβουλίου 89/656/ΕΟΚ», ΦΕΚ 220Α/94</w:t>
      </w:r>
    </w:p>
    <w:p w:rsidR="00E27E79" w:rsidRDefault="00C449A6">
      <w:pPr>
        <w:pStyle w:val="a5"/>
        <w:numPr>
          <w:ilvl w:val="0"/>
          <w:numId w:val="4"/>
        </w:numPr>
        <w:jc w:val="left"/>
      </w:pPr>
      <w:r>
        <w:lastRenderedPageBreak/>
        <w:t xml:space="preserve">ΠΔ395/1994 «Ελάχιστες προδιαγραφές ασφάλειας και υγείας για τη χρησιμοποίηση εξοπλισμού εργασίας από τους εργαζόμενους </w:t>
      </w:r>
      <w:r>
        <w:t>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E27E79" w:rsidRDefault="00C449A6">
      <w:pPr>
        <w:pStyle w:val="a5"/>
        <w:numPr>
          <w:ilvl w:val="0"/>
          <w:numId w:val="4"/>
        </w:numPr>
        <w:jc w:val="left"/>
      </w:pPr>
      <w:r>
        <w:t>ΠΔ77/1993 «προστασία των εργαζομένων από φυσικούς, χημικού</w:t>
      </w:r>
      <w:r>
        <w:t>ς και βιολογικούς παράγοντες. Τροποποίηση και συμπλήρωση προς την οδηγία του συμβουλίου 88/642/ΕΟΚ», ΦΕΚ 34Α/93</w:t>
      </w:r>
    </w:p>
    <w:p w:rsidR="00E27E79" w:rsidRDefault="00C449A6">
      <w:pPr>
        <w:pStyle w:val="a5"/>
        <w:numPr>
          <w:ilvl w:val="0"/>
          <w:numId w:val="4"/>
        </w:numPr>
        <w:jc w:val="left"/>
      </w:pPr>
      <w:r>
        <w:t>ΚΥΑ16440/1993 «Κανονισμός παραγωγής και διάθεσης στην αγορά συναρμολογούμενων μεταλλικών στοιχείων για την ασφαλή κατασκευή και χρήση μεταλλικών</w:t>
      </w:r>
      <w:r>
        <w:t xml:space="preserve"> σκαλωσιών», ΦΕΚ 756Β/93</w:t>
      </w:r>
    </w:p>
    <w:p w:rsidR="00E27E79" w:rsidRDefault="00C449A6">
      <w:pPr>
        <w:pStyle w:val="a5"/>
        <w:numPr>
          <w:ilvl w:val="0"/>
          <w:numId w:val="4"/>
        </w:numPr>
        <w:jc w:val="left"/>
      </w:pPr>
      <w:r>
        <w:t>ΠΔ225/1989 «Υγιεινή και ασφάλεια στα υπόγεια τεχνικά έργα» ΦΕΚ 106Α/89</w:t>
      </w:r>
    </w:p>
    <w:p w:rsidR="00E27E79" w:rsidRDefault="00C449A6">
      <w:pPr>
        <w:pStyle w:val="a5"/>
        <w:numPr>
          <w:ilvl w:val="0"/>
          <w:numId w:val="4"/>
        </w:numPr>
        <w:jc w:val="left"/>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w:t>
      </w:r>
      <w:r>
        <w:t>ηκε με το ΠΔ12/2012, ΦΕΚ 19Α</w:t>
      </w:r>
    </w:p>
    <w:p w:rsidR="00E27E79" w:rsidRDefault="00C449A6">
      <w:pPr>
        <w:pStyle w:val="a5"/>
        <w:numPr>
          <w:ilvl w:val="0"/>
          <w:numId w:val="4"/>
        </w:numPr>
        <w:jc w:val="left"/>
      </w:pPr>
      <w:r>
        <w:t>N 1568/85 «Υγιεινή και ασφάλεια των εργαζομένων»  ΦΕΚ 177/Α/18-10-1985</w:t>
      </w:r>
    </w:p>
    <w:p w:rsidR="00E27E79" w:rsidRDefault="00C449A6">
      <w:pPr>
        <w:pStyle w:val="a5"/>
        <w:numPr>
          <w:ilvl w:val="0"/>
          <w:numId w:val="4"/>
        </w:numPr>
        <w:jc w:val="left"/>
      </w:pPr>
      <w:r>
        <w:t xml:space="preserve">N1430/1984 «Κύρωση της αριθμ. 62 Διεθνούς Συμβάσεις Εργασίας, που αφορά τις διατάξεις ασφάλειας στην οικοδομική βιομηχανία και τη ρύθμιση θεμάτων που έχουν </w:t>
      </w:r>
      <w:r>
        <w:t>σχέση με αυτή», ΦΕΚ 49Α/84</w:t>
      </w:r>
    </w:p>
    <w:p w:rsidR="00E27E79" w:rsidRDefault="00C449A6">
      <w:pPr>
        <w:pStyle w:val="a5"/>
        <w:numPr>
          <w:ilvl w:val="0"/>
          <w:numId w:val="4"/>
        </w:numPr>
        <w:jc w:val="left"/>
      </w:pPr>
      <w:r>
        <w:t>ΥΑ130646/1984 «Ημερολόγιο Μέτρων Ασφάλειας», ΦΕΚ 154Β/84</w:t>
      </w:r>
    </w:p>
    <w:p w:rsidR="00E27E79" w:rsidRDefault="00C449A6">
      <w:pPr>
        <w:pStyle w:val="a5"/>
        <w:numPr>
          <w:ilvl w:val="0"/>
          <w:numId w:val="4"/>
        </w:numPr>
        <w:jc w:val="left"/>
      </w:pPr>
      <w:r>
        <w:t>Ν1396/1983 «Υποχρεώσεις λήψης και τήρησης των μέτρων ασφάλειας στις οικοδομές και λοιπά ιδιωτικά τεχνικά έργα», ΦΕΚ 126Α/83</w:t>
      </w:r>
    </w:p>
    <w:p w:rsidR="00E27E79" w:rsidRDefault="00C449A6">
      <w:pPr>
        <w:pStyle w:val="a5"/>
        <w:numPr>
          <w:ilvl w:val="0"/>
          <w:numId w:val="4"/>
        </w:numPr>
        <w:jc w:val="left"/>
      </w:pPr>
      <w:r>
        <w:t>ΠΔ1073/1981 «Περί μέτρων ασφαλείας κατά την εκτέ</w:t>
      </w:r>
      <w:r>
        <w:t>λεσιν εργασιών εις εργοτάξια οικοδομών και πάσης φύσεως έργων αρμοδιότητος Πολιτικού Μηχανικού», ΦΕΚ 260Α/81</w:t>
      </w:r>
    </w:p>
    <w:p w:rsidR="00E27E79" w:rsidRDefault="00C449A6">
      <w:pPr>
        <w:pStyle w:val="a5"/>
        <w:numPr>
          <w:ilvl w:val="0"/>
          <w:numId w:val="4"/>
        </w:numPr>
        <w:jc w:val="left"/>
      </w:pPr>
      <w:r>
        <w:t>ΠΔ778/1980 «Περί των μέτρων ασφαλείας κατά την εκτέλεσιν οικοδομικών εργασιών», ΦΕΚ 193Α/80</w:t>
      </w:r>
    </w:p>
    <w:p w:rsidR="00E27E79" w:rsidRDefault="00C449A6">
      <w:pPr>
        <w:pStyle w:val="a5"/>
        <w:numPr>
          <w:ilvl w:val="0"/>
          <w:numId w:val="4"/>
        </w:numPr>
        <w:jc w:val="left"/>
      </w:pPr>
      <w:r>
        <w:t>ΠΔ95/1978 «Περί μέτρων υγιεινής και ασφάλειας των απασχ</w:t>
      </w:r>
      <w:r>
        <w:t>ολουμένων εις εργασίας συγκολλήσεων» ΦΕΚ 20Α/78</w:t>
      </w:r>
    </w:p>
    <w:p w:rsidR="00E27E79" w:rsidRDefault="00E27E79">
      <w:pPr>
        <w:pStyle w:val="a5"/>
        <w:numPr>
          <w:ilvl w:val="0"/>
          <w:numId w:val="4"/>
        </w:numPr>
        <w:jc w:val="left"/>
      </w:pPr>
    </w:p>
    <w:p w:rsidR="00E27E79" w:rsidRDefault="00C449A6">
      <w:pPr>
        <w:pStyle w:val="1"/>
        <w:spacing w:before="720"/>
      </w:pPr>
      <w:bookmarkStart w:id="25" w:name="_Toc259701"/>
      <w:bookmarkStart w:id="26" w:name="_Toc262085"/>
      <w:r>
        <w:br w:type="page"/>
      </w:r>
      <w:bookmarkStart w:id="27" w:name="_Toc1157485412"/>
      <w:r>
        <w:lastRenderedPageBreak/>
        <w:t>ΠΑΡΑΡΤΗΜΑ 4: ΣΗΜΑΝΣΗ</w:t>
      </w:r>
      <w:bookmarkEnd w:id="25"/>
      <w:bookmarkEnd w:id="26"/>
      <w:bookmarkEnd w:id="27"/>
    </w:p>
    <w:p w:rsidR="00E27E79" w:rsidRDefault="00C449A6">
      <w:r>
        <w:rPr>
          <w:noProof/>
        </w:rPr>
        <w:drawing>
          <wp:inline distT="0" distB="0" distL="0" distR="0">
            <wp:extent cx="5380355" cy="1749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stretch>
                      <a:fillRect/>
                    </a:stretch>
                  </pic:blipFill>
                  <pic:spPr>
                    <a:xfrm>
                      <a:off x="0" y="0"/>
                      <a:ext cx="5380355" cy="1749425"/>
                    </a:xfrm>
                    <a:prstGeom prst="rect">
                      <a:avLst/>
                    </a:prstGeom>
                    <a:noFill/>
                  </pic:spPr>
                </pic:pic>
              </a:graphicData>
            </a:graphic>
          </wp:inline>
        </w:drawing>
      </w:r>
    </w:p>
    <w:p w:rsidR="00E27E79" w:rsidRDefault="00C449A6">
      <w:r>
        <w:rPr>
          <w:noProof/>
        </w:rPr>
        <w:drawing>
          <wp:inline distT="0" distB="0" distL="0" distR="0">
            <wp:extent cx="5407025" cy="268033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stretch>
                      <a:fillRect/>
                    </a:stretch>
                  </pic:blipFill>
                  <pic:spPr>
                    <a:xfrm>
                      <a:off x="0" y="0"/>
                      <a:ext cx="5407025" cy="2680335"/>
                    </a:xfrm>
                    <a:prstGeom prst="rect">
                      <a:avLst/>
                    </a:prstGeom>
                    <a:noFill/>
                  </pic:spPr>
                </pic:pic>
              </a:graphicData>
            </a:graphic>
          </wp:inline>
        </w:drawing>
      </w:r>
    </w:p>
    <w:p w:rsidR="00E27E79" w:rsidRDefault="00C449A6">
      <w:r>
        <w:rPr>
          <w:noProof/>
        </w:rPr>
        <w:drawing>
          <wp:inline distT="0" distB="0" distL="0" distR="0">
            <wp:extent cx="5416550" cy="2590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stretch>
                      <a:fillRect/>
                    </a:stretch>
                  </pic:blipFill>
                  <pic:spPr>
                    <a:xfrm>
                      <a:off x="0" y="0"/>
                      <a:ext cx="5416550" cy="2590800"/>
                    </a:xfrm>
                    <a:prstGeom prst="rect">
                      <a:avLst/>
                    </a:prstGeom>
                    <a:noFill/>
                  </pic:spPr>
                </pic:pic>
              </a:graphicData>
            </a:graphic>
          </wp:inline>
        </w:drawing>
      </w:r>
    </w:p>
    <w:p w:rsidR="00E27E79" w:rsidRDefault="00C449A6">
      <w:r>
        <w:rPr>
          <w:noProof/>
        </w:rPr>
        <w:lastRenderedPageBreak/>
        <w:drawing>
          <wp:inline distT="0" distB="0" distL="0" distR="0">
            <wp:extent cx="5387340" cy="23660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9"/>
                    <a:stretch>
                      <a:fillRect/>
                    </a:stretch>
                  </pic:blipFill>
                  <pic:spPr>
                    <a:xfrm>
                      <a:off x="0" y="0"/>
                      <a:ext cx="5387340" cy="2366010"/>
                    </a:xfrm>
                    <a:prstGeom prst="rect">
                      <a:avLst/>
                    </a:prstGeom>
                    <a:noFill/>
                  </pic:spPr>
                </pic:pic>
              </a:graphicData>
            </a:graphic>
          </wp:inline>
        </w:drawing>
      </w:r>
    </w:p>
    <w:p w:rsidR="00E27E79" w:rsidRDefault="00C449A6">
      <w:r>
        <w:rPr>
          <w:noProof/>
        </w:rPr>
        <w:drawing>
          <wp:inline distT="0" distB="0" distL="0" distR="0">
            <wp:extent cx="5410835" cy="253428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a:stretch>
                      <a:fillRect/>
                    </a:stretch>
                  </pic:blipFill>
                  <pic:spPr>
                    <a:xfrm>
                      <a:off x="0" y="0"/>
                      <a:ext cx="5410835" cy="2534285"/>
                    </a:xfrm>
                    <a:prstGeom prst="rect">
                      <a:avLst/>
                    </a:prstGeom>
                    <a:noFill/>
                  </pic:spPr>
                </pic:pic>
              </a:graphicData>
            </a:graphic>
          </wp:inline>
        </w:drawing>
      </w:r>
    </w:p>
    <w:p w:rsidR="00E27E79" w:rsidRDefault="00C449A6">
      <w:r>
        <w:rPr>
          <w:noProof/>
        </w:rPr>
        <w:drawing>
          <wp:inline distT="0" distB="0" distL="0" distR="0">
            <wp:extent cx="5428615" cy="253428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a:stretch>
                      <a:fillRect/>
                    </a:stretch>
                  </pic:blipFill>
                  <pic:spPr>
                    <a:xfrm>
                      <a:off x="0" y="0"/>
                      <a:ext cx="5428615" cy="2534285"/>
                    </a:xfrm>
                    <a:prstGeom prst="rect">
                      <a:avLst/>
                    </a:prstGeom>
                    <a:noFill/>
                  </pic:spPr>
                </pic:pic>
              </a:graphicData>
            </a:graphic>
          </wp:inline>
        </w:drawing>
      </w:r>
    </w:p>
    <w:p w:rsidR="00E27E79" w:rsidRDefault="00E27E79"/>
    <w:p w:rsidR="00E27E79" w:rsidRDefault="00E27E79"/>
    <w:sectPr w:rsidR="00E27E79">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A6" w:rsidRDefault="00C449A6">
      <w:r>
        <w:separator/>
      </w:r>
    </w:p>
  </w:endnote>
  <w:endnote w:type="continuationSeparator" w:id="0">
    <w:p w:rsidR="00C449A6" w:rsidRDefault="00C4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79" w:rsidRDefault="00E27E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79" w:rsidRDefault="00C449A6">
    <w:pPr>
      <w:pStyle w:val="a4"/>
      <w:jc w:val="right"/>
    </w:pPr>
    <w:r>
      <w:t xml:space="preserve">Σελίδα </w:t>
    </w:r>
    <w:r>
      <w:fldChar w:fldCharType="begin"/>
    </w:r>
    <w:r>
      <w:instrText xml:space="preserve"> PAGE </w:instrText>
    </w:r>
    <w:r>
      <w:fldChar w:fldCharType="separate"/>
    </w:r>
    <w:r w:rsidR="00F30A5B">
      <w:rPr>
        <w:noProof/>
      </w:rPr>
      <w:t>2</w:t>
    </w:r>
    <w:r>
      <w:fldChar w:fldCharType="end"/>
    </w:r>
    <w:r>
      <w:t xml:space="preserve"> από </w:t>
    </w:r>
    <w:r>
      <w:fldChar w:fldCharType="begin"/>
    </w:r>
    <w:r>
      <w:instrText xml:space="preserve"> NUMPAGES </w:instrText>
    </w:r>
    <w:r>
      <w:fldChar w:fldCharType="separate"/>
    </w:r>
    <w:r w:rsidR="00F30A5B">
      <w:rPr>
        <w:noProof/>
      </w:rPr>
      <w:t>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79" w:rsidRDefault="00E27E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A6" w:rsidRDefault="00C449A6">
      <w:r>
        <w:separator/>
      </w:r>
    </w:p>
  </w:footnote>
  <w:footnote w:type="continuationSeparator" w:id="0">
    <w:p w:rsidR="00C449A6" w:rsidRDefault="00C4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79" w:rsidRDefault="00E27E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79" w:rsidRDefault="00E27E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E79" w:rsidRDefault="00E27E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EF8C"/>
    <w:multiLevelType w:val="hybridMultilevel"/>
    <w:tmpl w:val="8958932A"/>
    <w:lvl w:ilvl="0" w:tplc="51DADA24">
      <w:start w:val="1"/>
      <w:numFmt w:val="bullet"/>
      <w:lvlText w:val="·"/>
      <w:lvlJc w:val="left"/>
      <w:pPr>
        <w:ind w:left="360" w:hanging="360"/>
      </w:pPr>
      <w:rPr>
        <w:rFonts w:ascii="Symbol" w:hAnsi="Symbol"/>
        <w:color w:val="000000"/>
        <w:sz w:val="22"/>
      </w:rPr>
    </w:lvl>
    <w:lvl w:ilvl="1" w:tplc="31ED1819">
      <w:start w:val="1"/>
      <w:numFmt w:val="bullet"/>
      <w:lvlText w:val="o"/>
      <w:lvlJc w:val="left"/>
      <w:pPr>
        <w:ind w:left="1080" w:hanging="360"/>
      </w:pPr>
      <w:rPr>
        <w:rFonts w:ascii="Symbol" w:hAnsi="Symbol"/>
        <w:color w:val="000000"/>
        <w:sz w:val="22"/>
      </w:rPr>
    </w:lvl>
    <w:lvl w:ilvl="2" w:tplc="1DE09D5C">
      <w:start w:val="1"/>
      <w:numFmt w:val="bullet"/>
      <w:lvlText w:val="·"/>
      <w:lvlJc w:val="left"/>
      <w:pPr>
        <w:ind w:left="1800" w:hanging="360"/>
      </w:pPr>
      <w:rPr>
        <w:rFonts w:ascii="Symbol" w:hAnsi="Symbol"/>
        <w:color w:val="000000"/>
        <w:sz w:val="22"/>
      </w:rPr>
    </w:lvl>
    <w:lvl w:ilvl="3" w:tplc="5763FC63">
      <w:start w:val="1"/>
      <w:numFmt w:val="bullet"/>
      <w:lvlText w:val="o"/>
      <w:lvlJc w:val="left"/>
      <w:pPr>
        <w:ind w:left="2520" w:hanging="360"/>
      </w:pPr>
      <w:rPr>
        <w:rFonts w:ascii="Symbol" w:hAnsi="Symbol"/>
        <w:color w:val="000000"/>
        <w:sz w:val="22"/>
      </w:rPr>
    </w:lvl>
    <w:lvl w:ilvl="4" w:tplc="1D340A4C">
      <w:start w:val="1"/>
      <w:numFmt w:val="bullet"/>
      <w:lvlText w:val="·"/>
      <w:lvlJc w:val="left"/>
      <w:pPr>
        <w:ind w:left="3240" w:hanging="360"/>
      </w:pPr>
      <w:rPr>
        <w:rFonts w:ascii="Symbol" w:hAnsi="Symbol"/>
        <w:color w:val="000000"/>
        <w:sz w:val="22"/>
      </w:rPr>
    </w:lvl>
    <w:lvl w:ilvl="5" w:tplc="3EC71090">
      <w:start w:val="1"/>
      <w:numFmt w:val="bullet"/>
      <w:lvlText w:val="o"/>
      <w:lvlJc w:val="left"/>
      <w:pPr>
        <w:ind w:left="3960" w:hanging="360"/>
      </w:pPr>
      <w:rPr>
        <w:rFonts w:ascii="Symbol" w:hAnsi="Symbol"/>
        <w:color w:val="000000"/>
        <w:sz w:val="22"/>
      </w:rPr>
    </w:lvl>
    <w:lvl w:ilvl="6" w:tplc="7664B700">
      <w:start w:val="1"/>
      <w:numFmt w:val="bullet"/>
      <w:lvlText w:val="·"/>
      <w:lvlJc w:val="left"/>
      <w:pPr>
        <w:ind w:left="4680" w:hanging="360"/>
      </w:pPr>
      <w:rPr>
        <w:rFonts w:ascii="Symbol" w:hAnsi="Symbol"/>
        <w:color w:val="000000"/>
        <w:sz w:val="22"/>
      </w:rPr>
    </w:lvl>
    <w:lvl w:ilvl="7" w:tplc="5930FDAB">
      <w:start w:val="1"/>
      <w:numFmt w:val="bullet"/>
      <w:lvlText w:val="o"/>
      <w:lvlJc w:val="left"/>
      <w:pPr>
        <w:ind w:left="5400" w:hanging="360"/>
      </w:pPr>
      <w:rPr>
        <w:rFonts w:ascii="Symbol" w:hAnsi="Symbol"/>
        <w:color w:val="000000"/>
        <w:sz w:val="22"/>
      </w:rPr>
    </w:lvl>
    <w:lvl w:ilvl="8" w:tplc="01743C07">
      <w:start w:val="1"/>
      <w:numFmt w:val="bullet"/>
      <w:lvlText w:val="·"/>
      <w:lvlJc w:val="left"/>
      <w:pPr>
        <w:ind w:left="6120" w:hanging="360"/>
      </w:pPr>
      <w:rPr>
        <w:rFonts w:ascii="Symbol" w:hAnsi="Symbol"/>
        <w:color w:val="000000"/>
        <w:sz w:val="22"/>
      </w:rPr>
    </w:lvl>
  </w:abstractNum>
  <w:abstractNum w:abstractNumId="1">
    <w:nsid w:val="2581F3F1"/>
    <w:multiLevelType w:val="hybridMultilevel"/>
    <w:tmpl w:val="C4ACB0B0"/>
    <w:lvl w:ilvl="0" w:tplc="1055733C">
      <w:start w:val="1"/>
      <w:numFmt w:val="bullet"/>
      <w:lvlText w:val="·"/>
      <w:lvlJc w:val="left"/>
      <w:pPr>
        <w:ind w:left="360" w:hanging="360"/>
      </w:pPr>
      <w:rPr>
        <w:rFonts w:ascii="Symbol" w:hAnsi="Symbol"/>
        <w:color w:val="000000"/>
        <w:sz w:val="22"/>
      </w:rPr>
    </w:lvl>
    <w:lvl w:ilvl="1" w:tplc="0241B567">
      <w:start w:val="1"/>
      <w:numFmt w:val="bullet"/>
      <w:lvlText w:val="o"/>
      <w:lvlJc w:val="left"/>
      <w:pPr>
        <w:ind w:left="1080" w:hanging="360"/>
      </w:pPr>
      <w:rPr>
        <w:rFonts w:ascii="Symbol" w:hAnsi="Symbol"/>
        <w:color w:val="000000"/>
        <w:sz w:val="22"/>
      </w:rPr>
    </w:lvl>
    <w:lvl w:ilvl="2" w:tplc="02216B74">
      <w:start w:val="1"/>
      <w:numFmt w:val="bullet"/>
      <w:lvlText w:val="·"/>
      <w:lvlJc w:val="left"/>
      <w:pPr>
        <w:ind w:left="1800" w:hanging="360"/>
      </w:pPr>
      <w:rPr>
        <w:rFonts w:ascii="Symbol" w:hAnsi="Symbol"/>
        <w:color w:val="000000"/>
        <w:sz w:val="22"/>
      </w:rPr>
    </w:lvl>
    <w:lvl w:ilvl="3" w:tplc="37C59C99">
      <w:start w:val="1"/>
      <w:numFmt w:val="bullet"/>
      <w:lvlText w:val="o"/>
      <w:lvlJc w:val="left"/>
      <w:pPr>
        <w:ind w:left="2520" w:hanging="360"/>
      </w:pPr>
      <w:rPr>
        <w:rFonts w:ascii="Symbol" w:hAnsi="Symbol"/>
        <w:color w:val="000000"/>
        <w:sz w:val="22"/>
      </w:rPr>
    </w:lvl>
    <w:lvl w:ilvl="4" w:tplc="63D0CE19">
      <w:start w:val="1"/>
      <w:numFmt w:val="bullet"/>
      <w:lvlText w:val="·"/>
      <w:lvlJc w:val="left"/>
      <w:pPr>
        <w:ind w:left="3240" w:hanging="360"/>
      </w:pPr>
      <w:rPr>
        <w:rFonts w:ascii="Symbol" w:hAnsi="Symbol"/>
        <w:color w:val="000000"/>
        <w:sz w:val="22"/>
      </w:rPr>
    </w:lvl>
    <w:lvl w:ilvl="5" w:tplc="32BC03C4">
      <w:start w:val="1"/>
      <w:numFmt w:val="bullet"/>
      <w:lvlText w:val="o"/>
      <w:lvlJc w:val="left"/>
      <w:pPr>
        <w:ind w:left="3960" w:hanging="360"/>
      </w:pPr>
      <w:rPr>
        <w:rFonts w:ascii="Symbol" w:hAnsi="Symbol"/>
        <w:color w:val="000000"/>
        <w:sz w:val="22"/>
      </w:rPr>
    </w:lvl>
    <w:lvl w:ilvl="6" w:tplc="51FB5737">
      <w:start w:val="1"/>
      <w:numFmt w:val="bullet"/>
      <w:lvlText w:val="·"/>
      <w:lvlJc w:val="left"/>
      <w:pPr>
        <w:ind w:left="4680" w:hanging="360"/>
      </w:pPr>
      <w:rPr>
        <w:rFonts w:ascii="Symbol" w:hAnsi="Symbol"/>
        <w:color w:val="000000"/>
        <w:sz w:val="22"/>
      </w:rPr>
    </w:lvl>
    <w:lvl w:ilvl="7" w:tplc="6C4E250B">
      <w:start w:val="1"/>
      <w:numFmt w:val="bullet"/>
      <w:lvlText w:val="o"/>
      <w:lvlJc w:val="left"/>
      <w:pPr>
        <w:ind w:left="5400" w:hanging="360"/>
      </w:pPr>
      <w:rPr>
        <w:rFonts w:ascii="Symbol" w:hAnsi="Symbol"/>
        <w:color w:val="000000"/>
        <w:sz w:val="22"/>
      </w:rPr>
    </w:lvl>
    <w:lvl w:ilvl="8" w:tplc="4F0C093D">
      <w:start w:val="1"/>
      <w:numFmt w:val="bullet"/>
      <w:lvlText w:val="·"/>
      <w:lvlJc w:val="left"/>
      <w:pPr>
        <w:ind w:left="6120" w:hanging="360"/>
      </w:pPr>
      <w:rPr>
        <w:rFonts w:ascii="Symbol" w:hAnsi="Symbol"/>
        <w:color w:val="000000"/>
        <w:sz w:val="22"/>
      </w:rPr>
    </w:lvl>
  </w:abstractNum>
  <w:abstractNum w:abstractNumId="2">
    <w:nsid w:val="523F0C81"/>
    <w:multiLevelType w:val="multilevel"/>
    <w:tmpl w:val="1ED8C3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698E99F"/>
    <w:multiLevelType w:val="hybridMultilevel"/>
    <w:tmpl w:val="D70C8CAC"/>
    <w:lvl w:ilvl="0" w:tplc="02455D57">
      <w:start w:val="1"/>
      <w:numFmt w:val="bullet"/>
      <w:lvlText w:val="·"/>
      <w:lvlJc w:val="left"/>
      <w:pPr>
        <w:ind w:left="360" w:hanging="360"/>
      </w:pPr>
      <w:rPr>
        <w:rFonts w:ascii="Symbol" w:hAnsi="Symbol"/>
        <w:color w:val="000000"/>
        <w:sz w:val="22"/>
      </w:rPr>
    </w:lvl>
    <w:lvl w:ilvl="1" w:tplc="3402BA85">
      <w:start w:val="1"/>
      <w:numFmt w:val="bullet"/>
      <w:lvlText w:val="o"/>
      <w:lvlJc w:val="left"/>
      <w:pPr>
        <w:ind w:left="1080" w:hanging="360"/>
      </w:pPr>
      <w:rPr>
        <w:rFonts w:ascii="Symbol" w:hAnsi="Symbol"/>
        <w:color w:val="000000"/>
        <w:sz w:val="22"/>
      </w:rPr>
    </w:lvl>
    <w:lvl w:ilvl="2" w:tplc="78780059">
      <w:start w:val="1"/>
      <w:numFmt w:val="bullet"/>
      <w:lvlText w:val="·"/>
      <w:lvlJc w:val="left"/>
      <w:pPr>
        <w:ind w:left="1800" w:hanging="360"/>
      </w:pPr>
      <w:rPr>
        <w:rFonts w:ascii="Symbol" w:hAnsi="Symbol"/>
        <w:color w:val="000000"/>
        <w:sz w:val="22"/>
      </w:rPr>
    </w:lvl>
    <w:lvl w:ilvl="3" w:tplc="75E85F21">
      <w:start w:val="1"/>
      <w:numFmt w:val="bullet"/>
      <w:lvlText w:val="o"/>
      <w:lvlJc w:val="left"/>
      <w:pPr>
        <w:ind w:left="2520" w:hanging="360"/>
      </w:pPr>
      <w:rPr>
        <w:rFonts w:ascii="Symbol" w:hAnsi="Symbol"/>
        <w:color w:val="000000"/>
        <w:sz w:val="22"/>
      </w:rPr>
    </w:lvl>
    <w:lvl w:ilvl="4" w:tplc="25035EAF">
      <w:start w:val="1"/>
      <w:numFmt w:val="bullet"/>
      <w:lvlText w:val="·"/>
      <w:lvlJc w:val="left"/>
      <w:pPr>
        <w:ind w:left="3240" w:hanging="360"/>
      </w:pPr>
      <w:rPr>
        <w:rFonts w:ascii="Symbol" w:hAnsi="Symbol"/>
        <w:color w:val="000000"/>
        <w:sz w:val="22"/>
      </w:rPr>
    </w:lvl>
    <w:lvl w:ilvl="5" w:tplc="6FC84192">
      <w:start w:val="1"/>
      <w:numFmt w:val="bullet"/>
      <w:lvlText w:val="o"/>
      <w:lvlJc w:val="left"/>
      <w:pPr>
        <w:ind w:left="3960" w:hanging="360"/>
      </w:pPr>
      <w:rPr>
        <w:rFonts w:ascii="Symbol" w:hAnsi="Symbol"/>
        <w:color w:val="000000"/>
        <w:sz w:val="22"/>
      </w:rPr>
    </w:lvl>
    <w:lvl w:ilvl="6" w:tplc="0232DE58">
      <w:start w:val="1"/>
      <w:numFmt w:val="bullet"/>
      <w:lvlText w:val="·"/>
      <w:lvlJc w:val="left"/>
      <w:pPr>
        <w:ind w:left="4680" w:hanging="360"/>
      </w:pPr>
      <w:rPr>
        <w:rFonts w:ascii="Symbol" w:hAnsi="Symbol"/>
        <w:color w:val="000000"/>
        <w:sz w:val="22"/>
      </w:rPr>
    </w:lvl>
    <w:lvl w:ilvl="7" w:tplc="4E11BFA1">
      <w:start w:val="1"/>
      <w:numFmt w:val="bullet"/>
      <w:lvlText w:val="o"/>
      <w:lvlJc w:val="left"/>
      <w:pPr>
        <w:ind w:left="5400" w:hanging="360"/>
      </w:pPr>
      <w:rPr>
        <w:rFonts w:ascii="Symbol" w:hAnsi="Symbol"/>
        <w:color w:val="000000"/>
        <w:sz w:val="22"/>
      </w:rPr>
    </w:lvl>
    <w:lvl w:ilvl="8" w:tplc="3E284767">
      <w:start w:val="1"/>
      <w:numFmt w:val="bullet"/>
      <w:lvlText w:val="·"/>
      <w:lvlJc w:val="left"/>
      <w:pPr>
        <w:ind w:left="6120" w:hanging="360"/>
      </w:pPr>
      <w:rPr>
        <w:rFonts w:ascii="Symbol" w:hAnsi="Symbol"/>
        <w:color w:val="000000"/>
        <w:sz w:val="22"/>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7E79"/>
    <w:rsid w:val="00C449A6"/>
    <w:rsid w:val="00E27E79"/>
    <w:rsid w:val="00F30A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960" w:after="120"/>
      <w:ind w:left="357" w:hanging="357"/>
      <w:outlineLvl w:val="0"/>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pPr>
      <w:jc w:val="both"/>
    </w:pPr>
    <w:rPr>
      <w:rFonts w:ascii="Arial" w:hAnsi="Arial"/>
      <w:color w:val="000000"/>
      <w:sz w:val="24"/>
    </w:rPr>
  </w:style>
  <w:style w:type="paragraph" w:styleId="a4">
    <w:name w:val="footer"/>
    <w:basedOn w:val="a"/>
    <w:next w:val="a"/>
    <w:pPr>
      <w:tabs>
        <w:tab w:val="center" w:pos="4320"/>
        <w:tab w:val="right" w:pos="8640"/>
      </w:tabs>
      <w:jc w:val="both"/>
    </w:pPr>
    <w:rPr>
      <w:color w:val="000000"/>
    </w:rPr>
  </w:style>
  <w:style w:type="paragraph" w:styleId="10">
    <w:name w:val="toc 1"/>
    <w:basedOn w:val="a"/>
    <w:next w:val="a"/>
    <w:pPr>
      <w:tabs>
        <w:tab w:val="left" w:pos="440"/>
        <w:tab w:val="right" w:pos="8630"/>
      </w:tabs>
      <w:spacing w:before="360"/>
      <w:jc w:val="both"/>
    </w:pPr>
    <w:rPr>
      <w:caps/>
      <w:color w:val="000000"/>
      <w:sz w:val="24"/>
    </w:rPr>
  </w:style>
  <w:style w:type="paragraph" w:styleId="a5">
    <w:name w:val="List Paragraph"/>
    <w:basedOn w:val="a"/>
    <w:next w:val="a"/>
    <w:pPr>
      <w:spacing w:after="120"/>
      <w:ind w:left="720"/>
      <w:contextualSpacing/>
      <w:jc w:val="both"/>
    </w:pPr>
    <w:rPr>
      <w:color w:val="000000"/>
    </w:rPr>
  </w:style>
  <w:style w:type="paragraph" w:styleId="a6">
    <w:name w:val="Plain Text"/>
    <w:basedOn w:val="a"/>
    <w:rPr>
      <w:rFonts w:ascii="Courier New" w:hAnsi="Courier New"/>
      <w:sz w:val="20"/>
    </w:rPr>
  </w:style>
  <w:style w:type="paragraph" w:styleId="a7">
    <w:name w:val="TOC Heading"/>
    <w:basedOn w:val="1"/>
    <w:next w:val="a"/>
    <w:pPr>
      <w:spacing w:after="0"/>
    </w:pPr>
    <w:rPr>
      <w:b w:val="0"/>
      <w:color w:val="2E75B5"/>
      <w:sz w:val="22"/>
      <w:lang w:val="en-US"/>
    </w:rPr>
  </w:style>
  <w:style w:type="character" w:styleId="a8">
    <w:name w:val="line number"/>
    <w:basedOn w:val="a0"/>
    <w:semiHidden/>
  </w:style>
  <w:style w:type="character" w:styleId="-">
    <w:name w:val="Hyperlink"/>
    <w:rPr>
      <w:color w:val="0000FF"/>
      <w:u w:val="single"/>
    </w:rPr>
  </w:style>
  <w:style w:type="character" w:styleId="a9">
    <w:name w:val="Strong"/>
    <w:rPr>
      <w:rFonts w:ascii="Times New Roman" w:hAnsi="Times New Roman"/>
      <w:b/>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Char"/>
    <w:uiPriority w:val="99"/>
    <w:semiHidden/>
    <w:unhideWhenUsed/>
    <w:rsid w:val="00F30A5B"/>
    <w:rPr>
      <w:rFonts w:ascii="Tahoma" w:hAnsi="Tahoma" w:cs="Tahoma"/>
      <w:sz w:val="16"/>
      <w:szCs w:val="16"/>
    </w:rPr>
  </w:style>
  <w:style w:type="character" w:customStyle="1" w:styleId="Char">
    <w:name w:val="Κείμενο πλαισίου Char"/>
    <w:basedOn w:val="a0"/>
    <w:link w:val="aa"/>
    <w:uiPriority w:val="99"/>
    <w:semiHidden/>
    <w:rsid w:val="00F30A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3.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13</Pages>
  <Words>3504</Words>
  <Characters>18927</Characters>
  <Application>Microsoft Office Word</Application>
  <DocSecurity>0</DocSecurity>
  <Lines>157</Lines>
  <Paragraphs>44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17</cp:revision>
  <cp:lastPrinted>2020-11-27T09:58:00Z</cp:lastPrinted>
  <dcterms:created xsi:type="dcterms:W3CDTF">2019-05-16T12:28:00Z</dcterms:created>
  <dcterms:modified xsi:type="dcterms:W3CDTF">2020-11-27T11:31:00Z</dcterms:modified>
</cp:coreProperties>
</file>